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hint="eastAsia" w:ascii="黑体" w:hAnsi="黑体" w:eastAsia="黑体" w:cs="黑体"/>
          <w:sz w:val="44"/>
          <w:szCs w:val="44"/>
        </w:rPr>
      </w:pPr>
      <w:bookmarkStart w:id="0" w:name="_GoBack"/>
      <w:r>
        <w:rPr>
          <w:rFonts w:hint="eastAsia" w:ascii="黑体" w:hAnsi="黑体" w:eastAsia="黑体" w:cs="黑体"/>
          <w:sz w:val="44"/>
          <w:szCs w:val="44"/>
        </w:rPr>
        <w:t>化工和危险化学品生产经营单位重大生产安全事故隐患判定标准（试行）</w:t>
      </w:r>
    </w:p>
    <w:bookmarkEnd w:id="0"/>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一、危险化学品生产、经营单位主要负责人和安全生产管理人员未依法经考核合格。</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二、特种作业人员未持证上岗。</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三、涉及“两重点一重大”的生产装置、储存设施外部安全防护距离不符合国家标准要求。</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四、涉及重点监管危险化工工艺的装置未实现自动化控制，系统未实现紧急停车功能，装备的自动化控制系统、紧急停车系统未投入使用。</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五、构成一级、二级重大危险源的危险化学品罐区未实现紧急切断功能；涉及毒性气体、液化气体、剧毒液体的一级、二级重大危险源的危险化学品罐区未配备独立的安全仪表系统。</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六、全压力式液化烃储罐未按国家标准设置注水措施。</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七、液化烃、液氨、液氯等易燃易爆、有毒有害液化气体的充装未使用万向管道充装系统。</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八、光气、氯气等剧毒气体及硫化氢气体管道穿越除厂区(包括化工园区、工业园区）外的公共区域。</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九、地区架空电力线路穿越生产区且不符合国家标准要求。</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十、在役化工装置未经正规设计且未进行安全设计诊断。</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十一、使用淘汰落后安全技术工艺、设备目录列出的工艺、设备。</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十二、涉及可燃和有毒有害气体泄漏的场所未按国家标准设置检测报警装置，爆炸危险场所未按国家标准安装使用防爆电气设备。</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十三、控制室或机柜间面向具有火灾、爆炸危险性装置一侧不满足国家标准关于防火防爆的要求。</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十四、化工生产装置未按国家标准要求设置双重电源供电，自动化控制系统未设置不间断电源。</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十五、安全阀、爆破片等安全附件未正常投用。</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十六、未建立与岗位相匹配的全员安全生产责任制或者未制定实施生产安全事故隐患排查治理制度。</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十七、未制定操作规程和工艺控制指标。</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十八、未按照国家标准制定动火、进入受限空间等特殊作业管理制度，或者制度未有效执行。</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二十、未按国家标准分区分类储存危险化学品，超量、超品种储存危险化学品，相互禁配物质混放混存。</w:t>
      </w:r>
    </w:p>
    <w:p>
      <w:pPr>
        <w:autoSpaceDE w:val="0"/>
        <w:spacing w:line="500" w:lineRule="exact"/>
        <w:rPr>
          <w:rFonts w:hint="eastAsia" w:ascii="仿宋" w:hAnsi="仿宋" w:eastAsia="仿宋" w:cs="仿宋"/>
          <w:sz w:val="32"/>
          <w:szCs w:val="32"/>
        </w:rPr>
      </w:pPr>
      <w:r>
        <w:rPr>
          <w:rFonts w:hint="eastAsia" w:ascii="仿宋" w:hAnsi="仿宋" w:eastAsia="仿宋" w:cs="仿宋"/>
          <w:sz w:val="32"/>
          <w:szCs w:val="32"/>
        </w:rPr>
        <w:t xml:space="preserve"> </w:t>
      </w:r>
    </w:p>
    <w:p>
      <w:pPr>
        <w:widowControl/>
        <w:jc w:val="left"/>
        <w:rPr>
          <w:rFonts w:hint="eastAsia" w:ascii="仿宋" w:hAnsi="仿宋" w:eastAsia="仿宋" w:cs="仿宋"/>
          <w:sz w:val="32"/>
          <w:szCs w:val="32"/>
        </w:rPr>
        <w:sectPr>
          <w:pgSz w:w="11906" w:h="16838"/>
          <w:pgMar w:top="1191" w:right="1191" w:bottom="1191" w:left="1191" w:header="720" w:footer="720" w:gutter="0"/>
          <w:cols w:space="0" w:num="1"/>
          <w:rtlGutter w:val="0"/>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E7D53"/>
    <w:rsid w:val="69EE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2021-10-15T14:37:00Z</dcterms:created>
  <dc:creator>xiaomi用户</dc:creator>
  <cp:lastModifiedBy>xiaomi用户</cp:lastModifiedBy>
  <dcterms:modified xsi:type="dcterms:W3CDTF">2021-10-15T14:38:57Z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825F97A37C804A3F915B244CC3E78E31</vt:lpwstr>
  </property>
</Properties>
</file>