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4"/>
        <w:jc w:val="center"/>
      </w:pPr>
      <w:r>
        <w:t>危险化学品重大危险源监督管理暂行规定（</w:t>
      </w:r>
      <w:r>
        <w:rPr>
          <w:rFonts w:ascii="Times New Roman" w:eastAsia="Times New Roman"/>
        </w:rPr>
        <w:t xml:space="preserve">2011 </w:t>
      </w:r>
      <w:r>
        <w:t>年）</w:t>
      </w:r>
    </w:p>
    <w:p>
      <w:pPr>
        <w:pStyle w:val="3"/>
        <w:spacing w:before="9"/>
        <w:ind w:left="0"/>
        <w:rPr>
          <w:b/>
          <w:sz w:val="30"/>
        </w:rPr>
      </w:pPr>
    </w:p>
    <w:p>
      <w:pPr>
        <w:pStyle w:val="3"/>
        <w:ind w:left="720"/>
        <w:jc w:val="both"/>
      </w:pPr>
      <w:r>
        <w:t xml:space="preserve">《危险化学品重大危险源监督管理暂行规定》已经 </w:t>
      </w:r>
      <w:r>
        <w:rPr>
          <w:rFonts w:ascii="Times New Roman" w:eastAsia="Times New Roman"/>
        </w:rPr>
        <w:t xml:space="preserve">2011 </w:t>
      </w:r>
      <w:r>
        <w:t xml:space="preserve">年 </w:t>
      </w:r>
      <w:r>
        <w:rPr>
          <w:rFonts w:ascii="Times New Roman" w:eastAsia="Times New Roman"/>
        </w:rPr>
        <w:t xml:space="preserve">7 </w:t>
      </w:r>
      <w:r>
        <w:t xml:space="preserve">月 </w:t>
      </w:r>
      <w:r>
        <w:rPr>
          <w:rFonts w:ascii="Times New Roman" w:eastAsia="Times New Roman"/>
        </w:rPr>
        <w:t xml:space="preserve">22 </w:t>
      </w:r>
      <w:r>
        <w:t>日国家安全生产监督</w:t>
      </w:r>
    </w:p>
    <w:p>
      <w:pPr>
        <w:pStyle w:val="3"/>
        <w:spacing w:before="43"/>
        <w:jc w:val="both"/>
      </w:pPr>
      <w:r>
        <w:t xml:space="preserve">管理总局局长办公会议审议通过，现予公布，自 </w:t>
      </w:r>
      <w:r>
        <w:rPr>
          <w:rFonts w:ascii="Times New Roman" w:eastAsia="Times New Roman"/>
        </w:rPr>
        <w:t xml:space="preserve">2011 </w:t>
      </w:r>
      <w:r>
        <w:t xml:space="preserve">年 </w:t>
      </w:r>
      <w:r>
        <w:rPr>
          <w:rFonts w:ascii="Times New Roman" w:eastAsia="Times New Roman"/>
        </w:rPr>
        <w:t xml:space="preserve">12 </w:t>
      </w:r>
      <w:r>
        <w:t xml:space="preserve">月 </w:t>
      </w:r>
      <w:r>
        <w:rPr>
          <w:rFonts w:ascii="Times New Roman" w:eastAsia="Times New Roman"/>
        </w:rPr>
        <w:t xml:space="preserve">1 </w:t>
      </w:r>
      <w:r>
        <w:t>日起施行。</w:t>
      </w:r>
    </w:p>
    <w:p>
      <w:pPr>
        <w:pStyle w:val="2"/>
        <w:spacing w:before="43"/>
        <w:ind w:left="3770"/>
        <w:jc w:val="both"/>
      </w:pPr>
      <w:r>
        <w:t>第一章 总 则</w:t>
      </w:r>
    </w:p>
    <w:p>
      <w:pPr>
        <w:pStyle w:val="3"/>
        <w:spacing w:before="43" w:line="278" w:lineRule="auto"/>
        <w:ind w:right="297" w:firstLine="420"/>
        <w:jc w:val="both"/>
      </w:pPr>
      <w:r>
        <w:rPr>
          <w:spacing w:val="-1"/>
        </w:rPr>
        <w:t>第一条 为了加强危险化学品重大危险源的安全监督管理，防止和减少危险化学品事故</w:t>
      </w:r>
      <w:r>
        <w:rPr>
          <w:spacing w:val="-8"/>
          <w:w w:val="95"/>
        </w:rPr>
        <w:t>的发生，保障人民群众生命财产安全，根据《中华人民共和国安全生产法》和《危险化学品</w:t>
      </w:r>
      <w:r>
        <w:rPr>
          <w:spacing w:val="-8"/>
        </w:rPr>
        <w:t>安全管理条例》等有关法律、行政法规，制定本规定。</w:t>
      </w:r>
    </w:p>
    <w:p>
      <w:pPr>
        <w:pStyle w:val="3"/>
        <w:spacing w:line="278" w:lineRule="auto"/>
        <w:ind w:right="194" w:firstLine="420"/>
        <w:jc w:val="both"/>
      </w:pPr>
      <w:r>
        <w:t xml:space="preserve">第二条 从事危险化学品生产、储存、使用和经营的单位（以下统称危险化学品单位） </w:t>
      </w:r>
      <w:r>
        <w:rPr>
          <w:w w:val="95"/>
        </w:rPr>
        <w:t>的危险化学品重大危险源的辨识、评估、登记建档、备案、核销及其监督管理，适用本规定。</w:t>
      </w:r>
    </w:p>
    <w:p>
      <w:pPr>
        <w:pStyle w:val="3"/>
        <w:spacing w:line="278" w:lineRule="auto"/>
        <w:ind w:right="300" w:firstLine="420"/>
      </w:pPr>
      <w:r>
        <w:rPr>
          <w:spacing w:val="-10"/>
          <w:w w:val="95"/>
        </w:rPr>
        <w:t xml:space="preserve">城镇燃气、用于国防科研生产的危险化学品重大危险源以及港区内危险化学品重大危险 </w:t>
      </w:r>
      <w:r>
        <w:rPr>
          <w:spacing w:val="-10"/>
        </w:rPr>
        <w:t>源的安全监督管理，不适用本规定。</w:t>
      </w:r>
    </w:p>
    <w:p>
      <w:pPr>
        <w:pStyle w:val="3"/>
        <w:spacing w:line="278" w:lineRule="auto"/>
        <w:ind w:right="297" w:firstLine="420"/>
        <w:jc w:val="both"/>
      </w:pPr>
      <w:r>
        <w:rPr>
          <w:spacing w:val="-1"/>
        </w:rPr>
        <w:t>第三条 本规定所称危险化学品重大危险源</w:t>
      </w:r>
      <w:r>
        <w:t>（以下简称重大危险源），是指按照《危险</w:t>
      </w:r>
      <w:r>
        <w:rPr>
          <w:spacing w:val="-2"/>
          <w:w w:val="95"/>
        </w:rPr>
        <w:t>化学品重大危险源辨识》</w:t>
      </w:r>
      <w:r>
        <w:rPr>
          <w:w w:val="95"/>
        </w:rPr>
        <w:t>（</w:t>
      </w:r>
      <w:r>
        <w:rPr>
          <w:rFonts w:ascii="Times New Roman" w:eastAsia="Times New Roman"/>
          <w:w w:val="95"/>
        </w:rPr>
        <w:t>GB18218</w:t>
      </w:r>
      <w:r>
        <w:rPr>
          <w:w w:val="95"/>
        </w:rPr>
        <w:t>）</w:t>
      </w:r>
      <w:r>
        <w:rPr>
          <w:spacing w:val="-4"/>
          <w:w w:val="95"/>
        </w:rPr>
        <w:t>标准辨识确定，生产、储存、使用或者搬运危险化学</w:t>
      </w:r>
      <w:r>
        <w:rPr>
          <w:spacing w:val="-4"/>
        </w:rPr>
        <w:t>品的数量等于或者超过临界量的单元（包括场所和设施）。</w:t>
      </w:r>
    </w:p>
    <w:p>
      <w:pPr>
        <w:pStyle w:val="3"/>
        <w:spacing w:line="278" w:lineRule="auto"/>
        <w:ind w:right="299" w:firstLine="420"/>
      </w:pPr>
      <w:r>
        <w:rPr>
          <w:spacing w:val="-4"/>
          <w:w w:val="95"/>
        </w:rPr>
        <w:t>第四条危险化学品单位是本单位重大危险源安全管理的责任主体，其主要负责人对本单</w:t>
      </w:r>
      <w:r>
        <w:rPr>
          <w:spacing w:val="-4"/>
        </w:rPr>
        <w:t>位的重大危险源安全管理工作负责，并保证重大危险源安全生产所必需的安全投入。</w:t>
      </w:r>
    </w:p>
    <w:p>
      <w:pPr>
        <w:pStyle w:val="3"/>
        <w:spacing w:line="269" w:lineRule="exact"/>
        <w:ind w:left="720"/>
      </w:pPr>
      <w:r>
        <w:t>第五条 重大危险源的安全监督管理实行属地监管与分级管理相结合的原则。</w:t>
      </w:r>
    </w:p>
    <w:p>
      <w:pPr>
        <w:pStyle w:val="3"/>
        <w:spacing w:before="41" w:line="278" w:lineRule="auto"/>
        <w:ind w:right="297" w:firstLine="420"/>
      </w:pPr>
      <w:r>
        <w:rPr>
          <w:spacing w:val="-4"/>
          <w:w w:val="95"/>
        </w:rPr>
        <w:t>县级以上地方人民政府安全生产监督管理部门按照有关法律、法规、标准和本规定，对</w:t>
      </w:r>
      <w:r>
        <w:rPr>
          <w:spacing w:val="-4"/>
        </w:rPr>
        <w:t>本辖区内的重大危险源实施安全监督管理。</w:t>
      </w:r>
    </w:p>
    <w:p>
      <w:pPr>
        <w:pStyle w:val="3"/>
        <w:spacing w:line="278" w:lineRule="auto"/>
        <w:ind w:right="297" w:firstLine="420"/>
        <w:jc w:val="both"/>
      </w:pPr>
      <w:r>
        <w:rPr>
          <w:spacing w:val="-1"/>
        </w:rPr>
        <w:t>第六条 国家鼓励危险化学品单位采用有利于提高重大危险源安全保障水平的先进适用</w:t>
      </w:r>
      <w:r>
        <w:rPr>
          <w:spacing w:val="-10"/>
          <w:w w:val="95"/>
        </w:rPr>
        <w:t>的工艺、技术、设备以及自动控制系统，推进安全生产监督管理部门重大危险源安全监管的</w:t>
      </w:r>
      <w:r>
        <w:rPr>
          <w:spacing w:val="-10"/>
        </w:rPr>
        <w:t>信息化建设。</w:t>
      </w:r>
    </w:p>
    <w:p>
      <w:pPr>
        <w:pStyle w:val="2"/>
        <w:ind w:left="3559"/>
        <w:jc w:val="both"/>
      </w:pPr>
      <w:r>
        <w:t>第二章 辨识与评估</w:t>
      </w:r>
    </w:p>
    <w:p>
      <w:pPr>
        <w:pStyle w:val="3"/>
        <w:spacing w:before="43" w:line="278" w:lineRule="auto"/>
        <w:ind w:right="297" w:firstLine="420"/>
        <w:jc w:val="both"/>
      </w:pPr>
      <w:r>
        <w:rPr>
          <w:spacing w:val="-1"/>
        </w:rPr>
        <w:t>第七条 危险化学品单位应当按照《危险化学品重大危险源辨识》标准，对本单位的危</w:t>
      </w:r>
      <w:r>
        <w:rPr>
          <w:spacing w:val="-9"/>
          <w:w w:val="95"/>
        </w:rPr>
        <w:t>险化学品生产、经营、储存和使用装置、设施或者场所进行重大危险源辨识，并记录辨识过</w:t>
      </w:r>
      <w:r>
        <w:rPr>
          <w:spacing w:val="-9"/>
        </w:rPr>
        <w:t>程与结果。</w:t>
      </w:r>
    </w:p>
    <w:p>
      <w:pPr>
        <w:pStyle w:val="3"/>
        <w:spacing w:line="278" w:lineRule="auto"/>
        <w:ind w:right="206" w:firstLine="420"/>
      </w:pPr>
      <w:r>
        <w:rPr>
          <w:spacing w:val="-1"/>
        </w:rPr>
        <w:t>第八条 危险化学品单位应当对重大危险源进行安全评估并确定重大危险源等级。危险</w:t>
      </w:r>
      <w:r>
        <w:rPr>
          <w:spacing w:val="-1"/>
          <w:w w:val="95"/>
        </w:rPr>
        <w:t>化学品单位可以组织本单位的注册安全工程师、技术人员或者聘请有关专家进行安全评估，</w:t>
      </w:r>
      <w:r>
        <w:rPr>
          <w:spacing w:val="-1"/>
        </w:rPr>
        <w:t>也可以委托具有相应资质的安全评价机构进行安全评估。</w:t>
      </w:r>
    </w:p>
    <w:p>
      <w:pPr>
        <w:pStyle w:val="3"/>
        <w:spacing w:line="278" w:lineRule="auto"/>
        <w:ind w:right="297" w:firstLine="420"/>
        <w:jc w:val="both"/>
      </w:pPr>
      <w:r>
        <w:rPr>
          <w:spacing w:val="-9"/>
          <w:w w:val="95"/>
        </w:rPr>
        <w:t>依照法律、行政法规的规定，危险化学品单位需要进行安全评价的，重大危险源安全评</w:t>
      </w:r>
      <w:r>
        <w:rPr>
          <w:spacing w:val="-14"/>
          <w:w w:val="95"/>
        </w:rPr>
        <w:t xml:space="preserve">估可以与本单位的安全评价一起进行，以安全评价报告代替安全评估报告，也可以单独进行   </w:t>
      </w:r>
      <w:r>
        <w:rPr>
          <w:spacing w:val="-14"/>
        </w:rPr>
        <w:t>重大危险源安全评估。</w:t>
      </w:r>
    </w:p>
    <w:p>
      <w:pPr>
        <w:pStyle w:val="3"/>
        <w:spacing w:line="278" w:lineRule="auto"/>
        <w:ind w:right="299" w:firstLine="420"/>
        <w:jc w:val="both"/>
      </w:pPr>
      <w:r>
        <w:rPr>
          <w:spacing w:val="-6"/>
          <w:w w:val="95"/>
        </w:rPr>
        <w:t xml:space="preserve">重大危险源根据其危险程度，分为一级、二级、三级和四级，一级为最高级别。重大危 </w:t>
      </w:r>
      <w:r>
        <w:rPr>
          <w:spacing w:val="-10"/>
        </w:rPr>
        <w:t xml:space="preserve">险源分级方法由本规定附件 </w:t>
      </w:r>
      <w:r>
        <w:rPr>
          <w:rFonts w:ascii="Times New Roman" w:eastAsia="Times New Roman"/>
        </w:rPr>
        <w:t xml:space="preserve">1 </w:t>
      </w:r>
      <w:r>
        <w:t>列示。</w:t>
      </w:r>
    </w:p>
    <w:p>
      <w:pPr>
        <w:pStyle w:val="3"/>
        <w:spacing w:line="278" w:lineRule="auto"/>
        <w:ind w:right="297" w:firstLine="420"/>
        <w:jc w:val="both"/>
      </w:pPr>
      <w:r>
        <w:t>第九条 重大危险源有下列情形之一的，应当委托具有相应资质的安全评价机构，按照有关标准的规定采用定量风险评价方法进行安全评估，确定个人和社会风险值：</w:t>
      </w:r>
    </w:p>
    <w:p>
      <w:pPr>
        <w:pStyle w:val="3"/>
        <w:spacing w:before="66" w:line="278" w:lineRule="auto"/>
        <w:ind w:right="299" w:firstLine="420"/>
      </w:pPr>
      <w:r>
        <w:rPr>
          <w:w w:val="95"/>
        </w:rPr>
        <w:t>（一</w:t>
      </w:r>
      <w:r>
        <w:rPr>
          <w:spacing w:val="-17"/>
          <w:w w:val="95"/>
        </w:rPr>
        <w:t>）</w:t>
      </w:r>
      <w:r>
        <w:rPr>
          <w:spacing w:val="-3"/>
          <w:w w:val="95"/>
        </w:rPr>
        <w:t>构成一级或者二级重大危险源，且毒性气体实际存在</w:t>
      </w:r>
      <w:r>
        <w:rPr>
          <w:w w:val="95"/>
        </w:rPr>
        <w:t>（在线</w:t>
      </w:r>
      <w:r>
        <w:rPr>
          <w:spacing w:val="-17"/>
          <w:w w:val="95"/>
        </w:rPr>
        <w:t>）</w:t>
      </w:r>
      <w:r>
        <w:rPr>
          <w:spacing w:val="-4"/>
          <w:w w:val="95"/>
        </w:rPr>
        <w:t>量与其在《危险化</w:t>
      </w:r>
      <w:r>
        <w:rPr>
          <w:spacing w:val="-6"/>
        </w:rPr>
        <w:t xml:space="preserve">学品重大危险源辨识》中规定的临界量比值之和大于或等于 </w:t>
      </w:r>
      <w:r>
        <w:rPr>
          <w:rFonts w:ascii="Times New Roman" w:eastAsia="Times New Roman"/>
        </w:rPr>
        <w:t xml:space="preserve">1 </w:t>
      </w:r>
      <w:r>
        <w:t>的；</w:t>
      </w:r>
    </w:p>
    <w:p>
      <w:pPr>
        <w:pStyle w:val="3"/>
        <w:spacing w:before="66" w:line="278" w:lineRule="auto"/>
        <w:ind w:right="299" w:firstLine="420"/>
      </w:pPr>
      <w:r>
        <w:rPr>
          <w:w w:val="95"/>
        </w:rPr>
        <w:t>（二</w:t>
      </w:r>
      <w:r>
        <w:rPr>
          <w:spacing w:val="-17"/>
          <w:w w:val="95"/>
        </w:rPr>
        <w:t>）</w:t>
      </w:r>
      <w:r>
        <w:rPr>
          <w:spacing w:val="-3"/>
          <w:w w:val="95"/>
        </w:rPr>
        <w:t>构成一级重大危险源，且爆炸品或液化易燃气体实际存在</w:t>
      </w:r>
      <w:r>
        <w:rPr>
          <w:w w:val="95"/>
        </w:rPr>
        <w:t>（在线</w:t>
      </w:r>
      <w:r>
        <w:rPr>
          <w:spacing w:val="-17"/>
          <w:w w:val="95"/>
        </w:rPr>
        <w:t>）</w:t>
      </w:r>
      <w:r>
        <w:rPr>
          <w:spacing w:val="-4"/>
          <w:w w:val="95"/>
        </w:rPr>
        <w:t xml:space="preserve">量与其在《危  </w:t>
      </w:r>
      <w:r>
        <w:rPr>
          <w:spacing w:val="-6"/>
        </w:rPr>
        <w:t xml:space="preserve">险化学品重大危险源辨识》中规定的临界量比值之和大于或等于 </w:t>
      </w:r>
      <w:r>
        <w:rPr>
          <w:rFonts w:ascii="Times New Roman" w:eastAsia="Times New Roman"/>
        </w:rPr>
        <w:t xml:space="preserve">1 </w:t>
      </w:r>
      <w:r>
        <w:t>的。</w:t>
      </w:r>
    </w:p>
    <w:p>
      <w:pPr>
        <w:pStyle w:val="3"/>
        <w:spacing w:line="278" w:lineRule="auto"/>
        <w:ind w:right="297" w:firstLine="420"/>
      </w:pPr>
      <w:r>
        <w:t>第十条 重大危险源安全评估报告应当客观公正、数据准确、内容完整、结论明确、措施可行，并包括下列内容：</w:t>
      </w:r>
    </w:p>
    <w:p>
      <w:pPr>
        <w:pStyle w:val="3"/>
        <w:spacing w:line="269" w:lineRule="exact"/>
        <w:ind w:left="720"/>
      </w:pPr>
      <w:r>
        <w:t>（一）评估的主要依据；</w:t>
      </w:r>
    </w:p>
    <w:p>
      <w:pPr>
        <w:pStyle w:val="3"/>
        <w:spacing w:before="43"/>
        <w:ind w:left="720"/>
      </w:pPr>
      <w:r>
        <w:t>（二）重大危险源的基本情况；</w:t>
      </w:r>
    </w:p>
    <w:p>
      <w:pPr>
        <w:pStyle w:val="3"/>
        <w:spacing w:before="43"/>
        <w:ind w:left="720"/>
      </w:pPr>
      <w:r>
        <w:t>（三）事故发生的可能性及危害程度；</w:t>
      </w:r>
    </w:p>
    <w:p>
      <w:pPr>
        <w:pStyle w:val="3"/>
        <w:spacing w:before="43"/>
        <w:ind w:left="720"/>
      </w:pPr>
      <w:r>
        <w:t>（四）个人风险和社会风险值（仅适用定量风险评价方法）；</w:t>
      </w:r>
    </w:p>
    <w:p>
      <w:pPr>
        <w:pStyle w:val="3"/>
        <w:spacing w:before="42"/>
        <w:ind w:left="720"/>
      </w:pPr>
      <w:r>
        <w:t>（五）可能受事故影响的周边场所、人员情况；</w:t>
      </w:r>
    </w:p>
    <w:p>
      <w:pPr>
        <w:pStyle w:val="3"/>
        <w:spacing w:before="43"/>
        <w:ind w:left="720"/>
      </w:pPr>
      <w:r>
        <w:rPr>
          <w:w w:val="95"/>
        </w:rPr>
        <w:t>（六）重大危险源辨识、分级的符合性分析；</w:t>
      </w:r>
    </w:p>
    <w:p>
      <w:pPr>
        <w:pStyle w:val="3"/>
        <w:spacing w:before="43"/>
        <w:ind w:left="720"/>
      </w:pPr>
      <w:r>
        <w:rPr>
          <w:w w:val="95"/>
        </w:rPr>
        <w:t>（七）安全管理措施、安全技术和监控措施；</w:t>
      </w:r>
    </w:p>
    <w:p>
      <w:pPr>
        <w:pStyle w:val="3"/>
        <w:spacing w:before="43"/>
        <w:ind w:left="720"/>
      </w:pPr>
      <w:r>
        <w:t>（八）事故应急措施；</w:t>
      </w:r>
    </w:p>
    <w:p>
      <w:pPr>
        <w:pStyle w:val="3"/>
        <w:spacing w:before="43"/>
        <w:ind w:left="720"/>
      </w:pPr>
      <w:r>
        <w:t>（九）评估结论与建议。</w:t>
      </w:r>
    </w:p>
    <w:p>
      <w:pPr>
        <w:pStyle w:val="3"/>
        <w:spacing w:before="43" w:line="278" w:lineRule="auto"/>
        <w:ind w:right="299" w:firstLine="420"/>
      </w:pPr>
      <w:r>
        <w:rPr>
          <w:spacing w:val="-4"/>
          <w:w w:val="95"/>
        </w:rPr>
        <w:t xml:space="preserve">危险化学品单位以安全评价报告代替安全评估报告的，其安全评价报告中有关重大危险  </w:t>
      </w:r>
      <w:r>
        <w:rPr>
          <w:spacing w:val="-4"/>
        </w:rPr>
        <w:t>源的内容应当符合本条第一款规定的要求。</w:t>
      </w:r>
    </w:p>
    <w:p>
      <w:pPr>
        <w:pStyle w:val="3"/>
        <w:spacing w:line="278" w:lineRule="auto"/>
        <w:ind w:right="300" w:firstLine="420"/>
      </w:pPr>
      <w:r>
        <w:t>第十一条 有下列情形之一的，危险化学品单位应当对重大危险源重新进行辨识、安全评估及分级：</w:t>
      </w:r>
    </w:p>
    <w:p>
      <w:pPr>
        <w:pStyle w:val="3"/>
        <w:spacing w:line="269" w:lineRule="exact"/>
        <w:ind w:left="720"/>
      </w:pPr>
      <w:r>
        <w:t>（一）重大危险源安全评估已满三年的；</w:t>
      </w:r>
    </w:p>
    <w:p>
      <w:pPr>
        <w:pStyle w:val="3"/>
        <w:spacing w:before="43"/>
        <w:ind w:left="720"/>
      </w:pPr>
      <w:r>
        <w:t>（二）构成重大危险源的装置、设施或者场所进行新建、改建、扩建的；</w:t>
      </w:r>
    </w:p>
    <w:p>
      <w:pPr>
        <w:pStyle w:val="3"/>
        <w:spacing w:before="43" w:line="278" w:lineRule="auto"/>
        <w:ind w:right="299" w:firstLine="577" w:firstLineChars="290"/>
      </w:pPr>
      <w:r>
        <w:rPr>
          <w:w w:val="95"/>
        </w:rPr>
        <w:t>（三</w:t>
      </w:r>
      <w:r>
        <w:rPr>
          <w:spacing w:val="-17"/>
          <w:w w:val="95"/>
        </w:rPr>
        <w:t>）</w:t>
      </w:r>
      <w:r>
        <w:rPr>
          <w:spacing w:val="-8"/>
          <w:w w:val="95"/>
        </w:rPr>
        <w:t xml:space="preserve">危险化学品种类、数量、生产、使用工艺或者储存方式及重要设备、设施等发生  </w:t>
      </w:r>
      <w:r>
        <w:rPr>
          <w:spacing w:val="-8"/>
        </w:rPr>
        <w:t>变化，影响重大危险源级别或者风险程度的；</w:t>
      </w:r>
    </w:p>
    <w:p>
      <w:pPr>
        <w:pStyle w:val="3"/>
        <w:spacing w:line="269" w:lineRule="exact"/>
        <w:ind w:left="720"/>
      </w:pPr>
      <w:r>
        <w:t>（四）外界生产安全环境因素发生变化，影响重大危险源级别和风险程度的；</w:t>
      </w:r>
    </w:p>
    <w:p>
      <w:pPr>
        <w:pStyle w:val="3"/>
        <w:spacing w:before="43"/>
        <w:ind w:left="720"/>
      </w:pPr>
      <w:r>
        <w:t xml:space="preserve">（五）发生危险化学品事故造成人员死亡，或者 </w:t>
      </w:r>
      <w:r>
        <w:rPr>
          <w:rFonts w:ascii="Times New Roman" w:eastAsia="Times New Roman"/>
        </w:rPr>
        <w:t xml:space="preserve">10 </w:t>
      </w:r>
      <w:r>
        <w:t>人以上受伤，或者影响到公共安全</w:t>
      </w:r>
    </w:p>
    <w:p>
      <w:pPr>
        <w:pStyle w:val="3"/>
        <w:spacing w:before="43"/>
      </w:pPr>
      <w:r>
        <w:t>的；</w:t>
      </w:r>
    </w:p>
    <w:p>
      <w:pPr>
        <w:pStyle w:val="3"/>
        <w:spacing w:before="43"/>
        <w:ind w:left="720"/>
      </w:pPr>
      <w:r>
        <w:t>（六）有关重大危险源辨识和安全评估的国家标准、行业标准发生变化的。</w:t>
      </w:r>
    </w:p>
    <w:p>
      <w:pPr>
        <w:pStyle w:val="2"/>
        <w:spacing w:before="43"/>
        <w:ind w:left="3664"/>
      </w:pPr>
      <w:r>
        <w:t>第三章 安全管理</w:t>
      </w:r>
    </w:p>
    <w:p>
      <w:pPr>
        <w:pStyle w:val="3"/>
        <w:spacing w:before="42"/>
        <w:ind w:left="720"/>
      </w:pPr>
      <w:r>
        <w:t>第十二条 危险化学品单位应当建立完善重大危险源安全管理规章制度和安全操作规</w:t>
      </w:r>
    </w:p>
    <w:p>
      <w:pPr>
        <w:pStyle w:val="3"/>
        <w:spacing w:before="43"/>
      </w:pPr>
      <w:r>
        <w:t>程，并采取有效措施保证其得到执行。</w:t>
      </w:r>
    </w:p>
    <w:p>
      <w:pPr>
        <w:pStyle w:val="3"/>
        <w:spacing w:before="43" w:line="278" w:lineRule="auto"/>
        <w:ind w:right="297" w:firstLine="420"/>
        <w:jc w:val="both"/>
      </w:pPr>
      <w:r>
        <w:rPr>
          <w:spacing w:val="-1"/>
        </w:rPr>
        <w:t>第十三条 危险化学品单位应当根据构成重大危险源的危险化学品种类、数量、生产、</w:t>
      </w:r>
      <w:r>
        <w:rPr>
          <w:spacing w:val="-7"/>
          <w:w w:val="95"/>
        </w:rPr>
        <w:t>使用工艺</w:t>
      </w:r>
      <w:r>
        <w:rPr>
          <w:w w:val="95"/>
        </w:rPr>
        <w:t>（方式</w:t>
      </w:r>
      <w:r>
        <w:rPr>
          <w:spacing w:val="-22"/>
          <w:w w:val="95"/>
        </w:rPr>
        <w:t>）</w:t>
      </w:r>
      <w:r>
        <w:rPr>
          <w:spacing w:val="-6"/>
          <w:w w:val="95"/>
        </w:rPr>
        <w:t xml:space="preserve">或者相关设备、设施等实际情况，按照下列要求建立健全安全监测监控体   </w:t>
      </w:r>
      <w:r>
        <w:rPr>
          <w:spacing w:val="-6"/>
        </w:rPr>
        <w:t>系，完善控制措施：</w:t>
      </w:r>
    </w:p>
    <w:p>
      <w:pPr>
        <w:pStyle w:val="3"/>
        <w:spacing w:line="278" w:lineRule="auto"/>
        <w:ind w:right="206" w:firstLine="420"/>
      </w:pPr>
      <w:r>
        <w:t>（一</w:t>
      </w:r>
      <w:r>
        <w:rPr>
          <w:spacing w:val="-17"/>
        </w:rPr>
        <w:t>）</w:t>
      </w:r>
      <w:r>
        <w:rPr>
          <w:spacing w:val="-6"/>
        </w:rPr>
        <w:t>重大危险源配备温度、压力、液位、流量、组份等信息的不间断采集和监测系统</w:t>
      </w:r>
      <w:r>
        <w:rPr>
          <w:spacing w:val="-6"/>
          <w:w w:val="95"/>
        </w:rPr>
        <w:t xml:space="preserve">以及可燃气体和有毒有害气体泄漏检测报警装置，并具备信息远传、连续记录、事故预警、   </w:t>
      </w:r>
      <w:r>
        <w:rPr>
          <w:spacing w:val="-11"/>
        </w:rPr>
        <w:t>信息存储等功能；一级或者二级重大危险源，具备紧急停车功能。记录的电子数据的保存时</w:t>
      </w:r>
      <w:r>
        <w:rPr>
          <w:spacing w:val="-19"/>
        </w:rPr>
        <w:t xml:space="preserve">间不少于 </w:t>
      </w:r>
      <w:r>
        <w:rPr>
          <w:rFonts w:ascii="Times New Roman" w:eastAsia="Times New Roman"/>
        </w:rPr>
        <w:t xml:space="preserve">30 </w:t>
      </w:r>
      <w:r>
        <w:t>天；</w:t>
      </w:r>
    </w:p>
    <w:p>
      <w:pPr>
        <w:pStyle w:val="3"/>
        <w:spacing w:line="278" w:lineRule="auto"/>
        <w:ind w:right="299" w:firstLine="420"/>
      </w:pPr>
      <w:r>
        <w:rPr>
          <w:w w:val="95"/>
        </w:rPr>
        <w:t>（二</w:t>
      </w:r>
      <w:r>
        <w:rPr>
          <w:spacing w:val="-46"/>
          <w:w w:val="95"/>
        </w:rPr>
        <w:t>）</w:t>
      </w:r>
      <w:r>
        <w:rPr>
          <w:spacing w:val="-2"/>
          <w:w w:val="95"/>
        </w:rPr>
        <w:t xml:space="preserve">重大危险源的化工生产装置装备满足安全生产要求的自动化控制系统；一级或者  </w:t>
      </w:r>
      <w:r>
        <w:rPr>
          <w:spacing w:val="-2"/>
        </w:rPr>
        <w:t>二级重大危险源，装备紧急停车系统；</w:t>
      </w:r>
    </w:p>
    <w:p>
      <w:pPr>
        <w:pStyle w:val="3"/>
        <w:spacing w:line="278" w:lineRule="auto"/>
        <w:ind w:right="297" w:firstLine="420"/>
        <w:jc w:val="both"/>
      </w:pPr>
      <w:r>
        <w:rPr>
          <w:w w:val="95"/>
        </w:rPr>
        <w:t>（三</w:t>
      </w:r>
      <w:r>
        <w:rPr>
          <w:spacing w:val="-32"/>
          <w:w w:val="95"/>
        </w:rPr>
        <w:t>）</w:t>
      </w:r>
      <w:r>
        <w:rPr>
          <w:spacing w:val="-4"/>
          <w:w w:val="95"/>
        </w:rPr>
        <w:t>对重大危险源中的毒性气体、剧毒液体和易燃气体等重点设施，设置紧急切断装</w:t>
      </w:r>
      <w:r>
        <w:rPr>
          <w:spacing w:val="-10"/>
          <w:w w:val="95"/>
        </w:rPr>
        <w:t xml:space="preserve">置；毒性气体的设施，设置泄漏物紧急处置装置。涉及毒性气体、液化气体、剧毒液体的一 </w:t>
      </w:r>
      <w:r>
        <w:rPr>
          <w:spacing w:val="-10"/>
        </w:rPr>
        <w:t>级或者二级重大危险源，配备独立的安全仪表系统（</w:t>
      </w:r>
      <w:r>
        <w:rPr>
          <w:rFonts w:ascii="Times New Roman" w:eastAsia="Times New Roman"/>
          <w:spacing w:val="-10"/>
        </w:rPr>
        <w:t>SIS</w:t>
      </w:r>
      <w:r>
        <w:rPr>
          <w:spacing w:val="-10"/>
        </w:rPr>
        <w:t>）；</w:t>
      </w:r>
    </w:p>
    <w:p>
      <w:pPr>
        <w:pStyle w:val="3"/>
        <w:spacing w:line="269" w:lineRule="exact"/>
        <w:ind w:left="720"/>
      </w:pPr>
      <w:r>
        <w:t>（四）重大危险源中储存剧毒物质的场所或者设施，设置视频监控系统；</w:t>
      </w:r>
    </w:p>
    <w:p>
      <w:pPr>
        <w:pStyle w:val="3"/>
        <w:spacing w:before="42"/>
        <w:ind w:left="720"/>
      </w:pPr>
      <w:r>
        <w:t>（五）安全监测监控系统符合国家标准或者行业标准的规定。</w:t>
      </w:r>
    </w:p>
    <w:p>
      <w:pPr>
        <w:pStyle w:val="3"/>
        <w:keepNext w:val="0"/>
        <w:keepLines w:val="0"/>
        <w:pageBreakBefore w:val="0"/>
        <w:widowControl w:val="0"/>
        <w:kinsoku/>
        <w:wordWrap/>
        <w:overflowPunct/>
        <w:topLinePunct w:val="0"/>
        <w:autoSpaceDE w:val="0"/>
        <w:autoSpaceDN w:val="0"/>
        <w:bidi w:val="0"/>
        <w:adjustRightInd/>
        <w:snapToGrid/>
        <w:spacing w:before="66"/>
        <w:ind w:firstLine="600" w:firstLineChars="300"/>
        <w:textAlignment w:val="auto"/>
      </w:pPr>
      <w:r>
        <w:rPr>
          <w:spacing w:val="-5"/>
        </w:rPr>
        <w:t>第十四条 通过定量风险评价确定的重大危险源的个人和社会风险值，不得超过本规定</w:t>
      </w:r>
      <w:r>
        <w:rPr>
          <w:spacing w:val="-21"/>
        </w:rPr>
        <w:t xml:space="preserve">附件 </w:t>
      </w:r>
      <w:r>
        <w:rPr>
          <w:rFonts w:ascii="Times New Roman" w:eastAsia="Times New Roman"/>
        </w:rPr>
        <w:t>2</w:t>
      </w:r>
      <w:r>
        <w:t>列示的个人和社会可容许风险限值标准。超过个人和社会可容许风险限值标准的，危险化学品单位应当采取相应的降低风险措施。</w:t>
      </w:r>
    </w:p>
    <w:p>
      <w:pPr>
        <w:pStyle w:val="3"/>
        <w:spacing w:before="43"/>
        <w:ind w:left="720"/>
      </w:pPr>
      <w:r>
        <w:t>第十五条 危险化学品单位应当按照国家有关规定，定期对重大危险源的安全设施和安</w:t>
      </w:r>
    </w:p>
    <w:p>
      <w:pPr>
        <w:pStyle w:val="3"/>
        <w:spacing w:before="43" w:line="278" w:lineRule="auto"/>
        <w:ind w:right="206"/>
      </w:pPr>
      <w:r>
        <w:rPr>
          <w:spacing w:val="-6"/>
        </w:rPr>
        <w:t>全监测监控系统进行检测、检验，并进行经常性维护、保养，保证重大危险源的安全设施和</w:t>
      </w:r>
      <w:r>
        <w:rPr>
          <w:spacing w:val="-6"/>
          <w:w w:val="95"/>
        </w:rPr>
        <w:t>安全监测监控系统有效、可靠运行。维护、保养、检测应当作好记录，并由有关人员签字。</w:t>
      </w:r>
    </w:p>
    <w:p>
      <w:pPr>
        <w:pStyle w:val="3"/>
        <w:spacing w:line="278" w:lineRule="auto"/>
        <w:ind w:right="206" w:firstLine="420"/>
        <w:jc w:val="both"/>
      </w:pPr>
      <w:r>
        <w:rPr>
          <w:spacing w:val="-1"/>
        </w:rPr>
        <w:t>第十六条 危险化学品单位应当明确重大危险源中关键装置、重点部位的责任人或者责</w:t>
      </w:r>
      <w:r>
        <w:rPr>
          <w:spacing w:val="-8"/>
        </w:rPr>
        <w:t>任机构，并对重大危险源的安全生产状况进行定期检查，及时采取措施消除事故隐患。事故</w:t>
      </w:r>
      <w:r>
        <w:rPr>
          <w:spacing w:val="-8"/>
          <w:w w:val="95"/>
        </w:rPr>
        <w:t>隐患难以立即排除的，应当及时制定治理方案，落实整改措施、责任、资金、时限和预案。</w:t>
      </w:r>
    </w:p>
    <w:p>
      <w:pPr>
        <w:pStyle w:val="3"/>
        <w:spacing w:line="278" w:lineRule="auto"/>
        <w:ind w:right="194" w:firstLine="420"/>
      </w:pPr>
      <w:r>
        <w:rPr>
          <w:spacing w:val="-1"/>
        </w:rPr>
        <w:t>第十七条 危险化学品单位应当对重大危险源的管理和操作岗位人员进行安全操作技能</w:t>
      </w:r>
      <w:r>
        <w:rPr>
          <w:spacing w:val="-16"/>
          <w:w w:val="95"/>
        </w:rPr>
        <w:t xml:space="preserve">培训，使其了解重大危险源的危险特性，熟悉重大危险源安全管理规章制度和安全操作规程，   </w:t>
      </w:r>
      <w:r>
        <w:rPr>
          <w:spacing w:val="-16"/>
        </w:rPr>
        <w:t>掌握本岗位的安全操作技能和应急措施。</w:t>
      </w:r>
    </w:p>
    <w:p>
      <w:pPr>
        <w:pStyle w:val="3"/>
        <w:spacing w:line="278" w:lineRule="auto"/>
        <w:ind w:right="300" w:firstLine="420"/>
      </w:pPr>
      <w:r>
        <w:t>第十八条 危险化学品单位应当在重大危险源所在场所设置明显的安全警示标志，写明紧急情况下的应急处置办法。</w:t>
      </w:r>
    </w:p>
    <w:p>
      <w:pPr>
        <w:pStyle w:val="3"/>
        <w:spacing w:line="278" w:lineRule="auto"/>
        <w:ind w:right="300" w:firstLine="420"/>
      </w:pPr>
      <w:r>
        <w:t>第十九条 危险化学品单位应当将重大危险源可能发生的事故后果和应急措施等信息， 以适当方式告知可能受影响的单位、区域及人员。</w:t>
      </w:r>
    </w:p>
    <w:p>
      <w:pPr>
        <w:pStyle w:val="3"/>
        <w:spacing w:line="278" w:lineRule="auto"/>
        <w:ind w:right="297" w:firstLine="420"/>
        <w:jc w:val="both"/>
      </w:pPr>
      <w:r>
        <w:rPr>
          <w:spacing w:val="-1"/>
        </w:rPr>
        <w:t>第二十条 危险化学品单位应当依法制定重大危险源事故应急预案，建立应急救援组织</w:t>
      </w:r>
      <w:r>
        <w:rPr>
          <w:spacing w:val="-6"/>
          <w:w w:val="95"/>
        </w:rPr>
        <w:t>或者配备应急救援人员，配备必要的防护装备及应急救援器材、设备、物资，并保障其完好</w:t>
      </w:r>
      <w:r>
        <w:rPr>
          <w:spacing w:val="-12"/>
          <w:w w:val="95"/>
        </w:rPr>
        <w:t xml:space="preserve">和方便使用；配合地方人民政府安全生产监督管理部门制定所在地区涉及本单位的危险化学   </w:t>
      </w:r>
      <w:r>
        <w:rPr>
          <w:spacing w:val="-12"/>
        </w:rPr>
        <w:t>品事故应急预案。</w:t>
      </w:r>
    </w:p>
    <w:p>
      <w:pPr>
        <w:pStyle w:val="3"/>
        <w:spacing w:line="278" w:lineRule="auto"/>
        <w:ind w:right="194" w:firstLine="420"/>
      </w:pPr>
      <w:r>
        <w:rPr>
          <w:spacing w:val="-8"/>
        </w:rPr>
        <w:t>对存在吸入性有毒、有害气体的重大危险源，危险化学品单位应当配备便携式浓度检测</w:t>
      </w:r>
      <w:r>
        <w:rPr>
          <w:spacing w:val="-17"/>
          <w:w w:val="95"/>
        </w:rPr>
        <w:t>设备、空气呼吸器、化学防护服、堵漏器材等应急器材和设备；涉及剧毒气体的重大危险源，</w:t>
      </w:r>
      <w:r>
        <w:rPr>
          <w:spacing w:val="-19"/>
        </w:rPr>
        <w:t>还应当配备两套以上</w:t>
      </w:r>
      <w:r>
        <w:t>（含本数</w:t>
      </w:r>
      <w:r>
        <w:rPr>
          <w:spacing w:val="-32"/>
        </w:rPr>
        <w:t>）</w:t>
      </w:r>
      <w:r>
        <w:rPr>
          <w:spacing w:val="-4"/>
        </w:rPr>
        <w:t>气密型化学防护服；涉及易燃易爆气体或者易燃液体蒸气的重大危险源，还应当配备一定数量的便携式可燃气体检测设备。</w:t>
      </w:r>
    </w:p>
    <w:p>
      <w:pPr>
        <w:pStyle w:val="3"/>
        <w:spacing w:line="278" w:lineRule="auto"/>
        <w:ind w:right="300" w:firstLine="420"/>
      </w:pPr>
      <w:r>
        <w:t>第二十一条 危险化学品单位应当制定重大危险源事故应急预案演练计划，并按照下列要求进行事故应急预案演练：</w:t>
      </w:r>
    </w:p>
    <w:p>
      <w:pPr>
        <w:pStyle w:val="3"/>
        <w:spacing w:line="269" w:lineRule="exact"/>
        <w:ind w:left="720"/>
      </w:pPr>
      <w:r>
        <w:t>（一）对重大危险源专项应急预案，每年至少进行一次；</w:t>
      </w:r>
    </w:p>
    <w:p>
      <w:pPr>
        <w:pStyle w:val="3"/>
        <w:spacing w:before="40"/>
        <w:ind w:left="720"/>
      </w:pPr>
      <w:r>
        <w:t>（二）对重大危险源现场处置方案，每半年至少进行一次。</w:t>
      </w:r>
    </w:p>
    <w:p>
      <w:pPr>
        <w:pStyle w:val="3"/>
        <w:spacing w:before="43" w:line="278" w:lineRule="auto"/>
        <w:ind w:right="299" w:firstLine="420"/>
      </w:pPr>
      <w:r>
        <w:rPr>
          <w:spacing w:val="-7"/>
          <w:w w:val="95"/>
        </w:rPr>
        <w:t>应急预案演练结束后，危险化学品单位应当对应急预案演练效果进行评估，撰写应急预</w:t>
      </w:r>
      <w:r>
        <w:rPr>
          <w:spacing w:val="-7"/>
        </w:rPr>
        <w:t>案演练评估报告，分析存在的问题，对应急预案提出修订意见，并及时修订完善。</w:t>
      </w:r>
    </w:p>
    <w:p>
      <w:pPr>
        <w:pStyle w:val="3"/>
        <w:spacing w:line="278" w:lineRule="auto"/>
        <w:ind w:left="720" w:right="312"/>
      </w:pPr>
      <w:r>
        <w:t>第二十二条 危险化学品单位应当对辨识确认的重大危险源及时、逐项进行登记建档。重大危险源档案应当包括下列文件、资料：</w:t>
      </w:r>
    </w:p>
    <w:p>
      <w:pPr>
        <w:pStyle w:val="3"/>
        <w:spacing w:line="269" w:lineRule="exact"/>
        <w:ind w:left="720"/>
      </w:pPr>
      <w:r>
        <w:t>（一）辨识、分级记录；</w:t>
      </w:r>
    </w:p>
    <w:p>
      <w:pPr>
        <w:pStyle w:val="3"/>
        <w:spacing w:before="43"/>
        <w:ind w:left="720"/>
      </w:pPr>
      <w:r>
        <w:t>（二）重大危险源基本特征表；</w:t>
      </w:r>
    </w:p>
    <w:p>
      <w:pPr>
        <w:pStyle w:val="3"/>
        <w:spacing w:before="43"/>
        <w:ind w:left="720"/>
      </w:pPr>
      <w:r>
        <w:t>（三）涉及的所有化学品安全技术说明书；</w:t>
      </w:r>
    </w:p>
    <w:p>
      <w:pPr>
        <w:pStyle w:val="3"/>
        <w:spacing w:before="43"/>
        <w:ind w:left="720"/>
      </w:pPr>
      <w:r>
        <w:t>（四）区域位置图、平面布置图、工艺流程图和主要设备一览表；</w:t>
      </w:r>
    </w:p>
    <w:p>
      <w:pPr>
        <w:pStyle w:val="3"/>
        <w:spacing w:before="43"/>
        <w:ind w:left="720"/>
      </w:pPr>
      <w:r>
        <w:t>（五）重大危险源安全管理规章制度及安全操作规程；</w:t>
      </w:r>
    </w:p>
    <w:p>
      <w:pPr>
        <w:pStyle w:val="3"/>
        <w:spacing w:before="43"/>
        <w:ind w:left="720"/>
      </w:pPr>
      <w:r>
        <w:t>（六）安全监测监控系统、措施说明、检测、检验结果；</w:t>
      </w:r>
    </w:p>
    <w:p>
      <w:pPr>
        <w:pStyle w:val="3"/>
        <w:spacing w:before="43"/>
        <w:ind w:left="720"/>
      </w:pPr>
      <w:r>
        <w:t>（七）重大危险源事故应急预案、评审意见、演练计划和评估报告；</w:t>
      </w:r>
    </w:p>
    <w:p>
      <w:pPr>
        <w:pStyle w:val="3"/>
        <w:spacing w:before="43"/>
        <w:ind w:left="720"/>
      </w:pPr>
      <w:r>
        <w:t>（八）安全评估报告或者安全评价报告；</w:t>
      </w:r>
    </w:p>
    <w:p>
      <w:pPr>
        <w:pStyle w:val="3"/>
        <w:spacing w:before="43"/>
        <w:ind w:left="720"/>
      </w:pPr>
      <w:r>
        <w:t>（九）重大危险源关键装置、重点部位的责任人、责任机构名称；</w:t>
      </w:r>
    </w:p>
    <w:p>
      <w:pPr>
        <w:pStyle w:val="3"/>
        <w:spacing w:before="43"/>
        <w:ind w:left="720"/>
      </w:pPr>
      <w:r>
        <w:t>（十）重大危险源场所安全警示标志的设置情况；</w:t>
      </w:r>
    </w:p>
    <w:p>
      <w:pPr>
        <w:pStyle w:val="3"/>
        <w:spacing w:before="43"/>
        <w:ind w:left="720"/>
      </w:pPr>
      <w:r>
        <w:t>（十一）其他文件、资料。</w:t>
      </w:r>
    </w:p>
    <w:p>
      <w:pPr>
        <w:pStyle w:val="3"/>
        <w:spacing w:before="42"/>
        <w:ind w:left="720"/>
        <w:rPr>
          <w:rFonts w:ascii="Times New Roman" w:eastAsia="Times New Roman"/>
        </w:rPr>
      </w:pPr>
      <w:r>
        <w:rPr>
          <w:spacing w:val="-2"/>
        </w:rPr>
        <w:t xml:space="preserve">第二十三条 危险化学品单位在完成重大危险源安全评估报告或者安全评价报告后 </w:t>
      </w:r>
      <w:r>
        <w:rPr>
          <w:rFonts w:ascii="Times New Roman" w:eastAsia="Times New Roman"/>
        </w:rPr>
        <w:t>15</w:t>
      </w:r>
    </w:p>
    <w:p>
      <w:pPr>
        <w:pStyle w:val="3"/>
        <w:spacing w:before="66" w:line="278" w:lineRule="auto"/>
        <w:ind w:right="299"/>
      </w:pPr>
      <w:r>
        <w:rPr>
          <w:spacing w:val="-10"/>
          <w:w w:val="95"/>
        </w:rPr>
        <w:t>日内，应当填写重大危险源备案申请表，连同本规定第二十二条规定的重大危险源档案材料</w:t>
      </w:r>
      <w:r>
        <w:rPr>
          <w:w w:val="95"/>
        </w:rPr>
        <w:t>（其中第二款第五项规定的文件资料只需提供清单</w:t>
      </w:r>
      <w:r>
        <w:rPr>
          <w:spacing w:val="-46"/>
          <w:w w:val="95"/>
        </w:rPr>
        <w:t>），</w:t>
      </w:r>
      <w:r>
        <w:rPr>
          <w:w w:val="95"/>
        </w:rPr>
        <w:t xml:space="preserve">报送所在地县级人民政府安全生产监   </w:t>
      </w:r>
      <w:r>
        <w:t>督管理部门备案。</w:t>
      </w:r>
    </w:p>
    <w:p>
      <w:pPr>
        <w:pStyle w:val="3"/>
        <w:spacing w:line="278" w:lineRule="auto"/>
        <w:ind w:right="299" w:firstLine="420"/>
        <w:jc w:val="both"/>
      </w:pPr>
      <w:r>
        <w:rPr>
          <w:spacing w:val="-4"/>
          <w:w w:val="95"/>
        </w:rPr>
        <w:t xml:space="preserve">县级人民政府安全生产监督管理部门应当每季度将辖区内的一级、二级重大危险源备案   </w:t>
      </w:r>
      <w:r>
        <w:rPr>
          <w:spacing w:val="-8"/>
          <w:w w:val="95"/>
        </w:rPr>
        <w:t xml:space="preserve">材料报送至设区的市级人民政府安全生产监督管理部门。设区的市级人民政府安全生产监督   </w:t>
      </w:r>
      <w:r>
        <w:rPr>
          <w:w w:val="95"/>
        </w:rPr>
        <w:t xml:space="preserve">管理部门应当每半年将辖区内的一级重大危险源备案材料报送至省级人民政府安全生产监   </w:t>
      </w:r>
      <w:r>
        <w:t>督管理部门。</w:t>
      </w:r>
    </w:p>
    <w:p>
      <w:pPr>
        <w:pStyle w:val="3"/>
        <w:spacing w:line="278" w:lineRule="auto"/>
        <w:ind w:right="206" w:firstLine="420"/>
      </w:pPr>
      <w:r>
        <w:rPr>
          <w:w w:val="95"/>
        </w:rPr>
        <w:t>重大危险源出现本规定第十一条所列情形之一的，危险化学品单位应当及时更新档案，</w:t>
      </w:r>
      <w:r>
        <w:t>并向所在地县级人民政府安全生产监督管理部门重新备案。</w:t>
      </w:r>
    </w:p>
    <w:p>
      <w:pPr>
        <w:pStyle w:val="3"/>
        <w:spacing w:line="278" w:lineRule="auto"/>
        <w:ind w:right="297" w:firstLine="420"/>
        <w:jc w:val="both"/>
      </w:pPr>
      <w:r>
        <w:rPr>
          <w:spacing w:val="-1"/>
        </w:rPr>
        <w:t>第二十四条 危险化学品单位新建、改建和扩建危险化学品建设项目，应当在建设项目</w:t>
      </w:r>
      <w:r>
        <w:rPr>
          <w:spacing w:val="-6"/>
          <w:w w:val="95"/>
        </w:rPr>
        <w:t>竣工验收前完成重大危险源的辨识、安全评估和分级、登记建档工作，并向所在地县级人民</w:t>
      </w:r>
      <w:r>
        <w:rPr>
          <w:spacing w:val="-6"/>
        </w:rPr>
        <w:t>政府安全生产监督管理部门备案。</w:t>
      </w:r>
    </w:p>
    <w:p>
      <w:pPr>
        <w:pStyle w:val="2"/>
        <w:spacing w:line="268" w:lineRule="exact"/>
        <w:ind w:left="3664"/>
        <w:jc w:val="both"/>
      </w:pPr>
      <w:r>
        <w:t>第四章 监督检查</w:t>
      </w:r>
    </w:p>
    <w:p>
      <w:pPr>
        <w:pStyle w:val="3"/>
        <w:spacing w:before="43" w:line="278" w:lineRule="auto"/>
        <w:ind w:right="300" w:firstLine="420"/>
        <w:jc w:val="both"/>
      </w:pPr>
      <w:r>
        <w:t>第二十五条 县级人民政府安全生产监督管理部门应当建立健全危险化学品重大危险源管理制度，明确责任人员，加强资料归档。</w:t>
      </w:r>
    </w:p>
    <w:p>
      <w:pPr>
        <w:pStyle w:val="3"/>
        <w:spacing w:line="278" w:lineRule="auto"/>
        <w:ind w:right="297" w:firstLine="420"/>
        <w:jc w:val="both"/>
      </w:pPr>
      <w:r>
        <w:rPr>
          <w:spacing w:val="-10"/>
        </w:rPr>
        <w:t xml:space="preserve">第二十六条 县级人民政府安全生产监督管理部门应当在每年 </w:t>
      </w:r>
      <w:r>
        <w:rPr>
          <w:rFonts w:ascii="Times New Roman" w:eastAsia="Times New Roman"/>
        </w:rPr>
        <w:t xml:space="preserve">1 </w:t>
      </w:r>
      <w:r>
        <w:rPr>
          <w:spacing w:val="-27"/>
        </w:rPr>
        <w:t xml:space="preserve">月 </w:t>
      </w:r>
      <w:r>
        <w:rPr>
          <w:rFonts w:ascii="Times New Roman" w:eastAsia="Times New Roman"/>
        </w:rPr>
        <w:t xml:space="preserve">15 </w:t>
      </w:r>
      <w:r>
        <w:rPr>
          <w:spacing w:val="-7"/>
        </w:rPr>
        <w:t>日前，将辖区内上</w:t>
      </w:r>
      <w:r>
        <w:rPr>
          <w:spacing w:val="-10"/>
          <w:w w:val="95"/>
        </w:rPr>
        <w:t>一年度重大危险源的汇总信息报送至设区的市级人民政府安全生产监督管理部门。设区的市</w:t>
      </w:r>
      <w:r>
        <w:rPr>
          <w:spacing w:val="-12"/>
        </w:rPr>
        <w:t xml:space="preserve">级人民政府安全生产监督管理部门应当在每年 </w:t>
      </w:r>
      <w:r>
        <w:rPr>
          <w:rFonts w:ascii="Times New Roman" w:eastAsia="Times New Roman"/>
        </w:rPr>
        <w:t xml:space="preserve">1 </w:t>
      </w:r>
      <w:r>
        <w:rPr>
          <w:spacing w:val="-26"/>
        </w:rPr>
        <w:t xml:space="preserve">月 </w:t>
      </w:r>
      <w:r>
        <w:rPr>
          <w:rFonts w:ascii="Times New Roman" w:eastAsia="Times New Roman"/>
        </w:rPr>
        <w:t xml:space="preserve">31 </w:t>
      </w:r>
      <w:r>
        <w:t>日前，将辖区内上一年度重大危险源</w:t>
      </w:r>
      <w:r>
        <w:rPr>
          <w:spacing w:val="-4"/>
          <w:w w:val="95"/>
        </w:rPr>
        <w:t>的汇总信息报送至省级人民政府安全生产监督管理部门。省级人民政府安全生产监督管理部</w:t>
      </w:r>
      <w:r>
        <w:rPr>
          <w:spacing w:val="-12"/>
        </w:rPr>
        <w:t xml:space="preserve">门应当在每年 </w:t>
      </w:r>
      <w:r>
        <w:rPr>
          <w:rFonts w:ascii="Times New Roman" w:eastAsia="Times New Roman"/>
        </w:rPr>
        <w:t xml:space="preserve">2 </w:t>
      </w:r>
      <w:r>
        <w:rPr>
          <w:spacing w:val="-26"/>
        </w:rPr>
        <w:t xml:space="preserve">月 </w:t>
      </w:r>
      <w:r>
        <w:rPr>
          <w:rFonts w:ascii="Times New Roman" w:eastAsia="Times New Roman"/>
        </w:rPr>
        <w:t xml:space="preserve">15 </w:t>
      </w:r>
      <w:r>
        <w:t>日前，将辖区内上一年度重大危险源的汇总信息报送至国家安全生产监督管理总局。</w:t>
      </w:r>
    </w:p>
    <w:p>
      <w:pPr>
        <w:pStyle w:val="3"/>
        <w:spacing w:line="278" w:lineRule="auto"/>
        <w:ind w:right="300" w:firstLine="420"/>
        <w:jc w:val="both"/>
      </w:pPr>
      <w:r>
        <w:t>第二十七条 重大危险源经过安全评价或者安全评估不再构成重大危险源的，危险化学品单位应当向所在地县级人民政府安全生产监督管理部门申请核销。</w:t>
      </w:r>
    </w:p>
    <w:p>
      <w:pPr>
        <w:pStyle w:val="3"/>
        <w:spacing w:line="269" w:lineRule="exact"/>
        <w:ind w:left="720"/>
      </w:pPr>
      <w:r>
        <w:t>申请核销重大危险源应当提交下列文件、资料：</w:t>
      </w:r>
    </w:p>
    <w:p>
      <w:pPr>
        <w:pStyle w:val="3"/>
        <w:spacing w:before="42"/>
        <w:ind w:left="720"/>
      </w:pPr>
      <w:r>
        <w:t>（一）载明核销理由的申请书；</w:t>
      </w:r>
    </w:p>
    <w:p>
      <w:pPr>
        <w:pStyle w:val="3"/>
        <w:spacing w:before="43"/>
        <w:ind w:left="720"/>
      </w:pPr>
      <w:r>
        <w:t>（二）单位名称、法定代表人、住所、联系人、联系方式；</w:t>
      </w:r>
    </w:p>
    <w:p>
      <w:pPr>
        <w:pStyle w:val="3"/>
        <w:spacing w:before="43"/>
        <w:ind w:left="720"/>
      </w:pPr>
      <w:r>
        <w:t>（三）安全评价报告或者安全评估报告。</w:t>
      </w:r>
    </w:p>
    <w:p>
      <w:pPr>
        <w:pStyle w:val="3"/>
        <w:spacing w:before="42" w:line="278" w:lineRule="auto"/>
        <w:ind w:right="299" w:firstLine="420"/>
        <w:jc w:val="both"/>
      </w:pPr>
      <w:r>
        <w:rPr>
          <w:spacing w:val="-1"/>
        </w:rPr>
        <w:t>第二十八条 县级人民政府安全生产监督管理部门应当自收到申请核销的文件、资料之</w:t>
      </w:r>
      <w:r>
        <w:rPr>
          <w:spacing w:val="-20"/>
        </w:rPr>
        <w:t xml:space="preserve">日起 </w:t>
      </w:r>
      <w:r>
        <w:rPr>
          <w:rFonts w:ascii="Times New Roman" w:eastAsia="Times New Roman"/>
        </w:rPr>
        <w:t xml:space="preserve">30 </w:t>
      </w:r>
      <w:r>
        <w:t>日内进行审查，符合条件的，予以核销并出具证明文书；不符合条件的，说明理由</w:t>
      </w:r>
      <w:r>
        <w:rPr>
          <w:spacing w:val="-8"/>
          <w:w w:val="95"/>
        </w:rPr>
        <w:t>并书面告知申请单位。必要时，县级人民政府安全生产监督管理部门应当聘请有关专家进行</w:t>
      </w:r>
      <w:r>
        <w:rPr>
          <w:spacing w:val="-8"/>
        </w:rPr>
        <w:t>现场核查。</w:t>
      </w:r>
    </w:p>
    <w:p>
      <w:pPr>
        <w:pStyle w:val="3"/>
        <w:spacing w:line="278" w:lineRule="auto"/>
        <w:ind w:right="299" w:firstLine="420"/>
        <w:jc w:val="both"/>
      </w:pPr>
      <w:r>
        <w:rPr>
          <w:spacing w:val="-3"/>
          <w:w w:val="95"/>
        </w:rPr>
        <w:t>第二十九条县级人民政府安全生产监督管理部门应当每季度将辖区内一级、二级重大危</w:t>
      </w:r>
      <w:r>
        <w:rPr>
          <w:spacing w:val="-6"/>
          <w:w w:val="95"/>
        </w:rPr>
        <w:t>险源的核销材料报送至设区的市级人民政府安全生产监督管理部门。设区的市级人民政府安</w:t>
      </w:r>
      <w:r>
        <w:rPr>
          <w:w w:val="95"/>
        </w:rPr>
        <w:t>全生产监督管理部门应当每半年将辖区内一级重大危险源的核销材料报送至省级人民政府</w:t>
      </w:r>
      <w:r>
        <w:t>安全生产监督管理部门。</w:t>
      </w:r>
    </w:p>
    <w:p>
      <w:pPr>
        <w:pStyle w:val="3"/>
        <w:spacing w:line="278" w:lineRule="auto"/>
        <w:ind w:right="299" w:firstLine="420"/>
        <w:jc w:val="both"/>
      </w:pPr>
      <w:r>
        <w:rPr>
          <w:spacing w:val="-1"/>
        </w:rPr>
        <w:t>第三十条 县级以上地方各级人民政府安全生产监督管理部门应当加强对存在重大危险</w:t>
      </w:r>
      <w:r>
        <w:rPr>
          <w:spacing w:val="-6"/>
          <w:w w:val="95"/>
        </w:rPr>
        <w:t>源的危险化学品单位的监督检查，督促危险化学品单位做好重大危险源的辨识、安全评估及</w:t>
      </w:r>
      <w:r>
        <w:rPr>
          <w:spacing w:val="-6"/>
        </w:rPr>
        <w:t>分级、登记建档、备案、监测监控、事故应急预案编制、核销和安全管理工作。</w:t>
      </w:r>
    </w:p>
    <w:p>
      <w:pPr>
        <w:pStyle w:val="3"/>
        <w:spacing w:line="269" w:lineRule="exact"/>
        <w:ind w:left="720"/>
      </w:pPr>
      <w:r>
        <w:t>首次对重大危险源的监督检查应当包括下列主要内容：</w:t>
      </w:r>
    </w:p>
    <w:p>
      <w:pPr>
        <w:pStyle w:val="3"/>
        <w:spacing w:before="43"/>
        <w:ind w:left="720"/>
      </w:pPr>
      <w:r>
        <w:t>（一）重大危险源的运行情况、安全管理规章制度及安全操作规程制定和落实情况；</w:t>
      </w:r>
    </w:p>
    <w:p>
      <w:pPr>
        <w:pStyle w:val="3"/>
        <w:spacing w:before="42"/>
        <w:ind w:left="720"/>
      </w:pPr>
      <w:r>
        <w:t>（二）重大危险源的辨识、分级、安全评估、登记建档、备案情况；</w:t>
      </w:r>
    </w:p>
    <w:p>
      <w:pPr>
        <w:pStyle w:val="3"/>
        <w:spacing w:before="43"/>
        <w:ind w:left="720"/>
      </w:pPr>
      <w:r>
        <w:t>（三）重大危险源的监测监控情况；</w:t>
      </w:r>
    </w:p>
    <w:p>
      <w:pPr>
        <w:pStyle w:val="3"/>
        <w:spacing w:before="43"/>
        <w:ind w:left="720"/>
      </w:pPr>
      <w:r>
        <w:t>（四）重大危险源安全设施和安全监测监控系统的检测、检验以及维护保养情况；</w:t>
      </w:r>
    </w:p>
    <w:p>
      <w:pPr>
        <w:pStyle w:val="3"/>
        <w:spacing w:before="43"/>
        <w:ind w:left="720"/>
      </w:pPr>
      <w:r>
        <w:t>（五）重大危险源事故应急预案的编制、评审、备案、修订和演练情况；</w:t>
      </w:r>
    </w:p>
    <w:p>
      <w:pPr>
        <w:pStyle w:val="3"/>
        <w:spacing w:before="66"/>
        <w:ind w:left="720"/>
      </w:pPr>
      <w:r>
        <w:t>（六）有关从业人员的安全培训教育情况；</w:t>
      </w:r>
    </w:p>
    <w:p>
      <w:pPr>
        <w:pStyle w:val="3"/>
        <w:spacing w:before="66"/>
        <w:ind w:left="720"/>
      </w:pPr>
      <w:r>
        <w:t>（七）安全标志设置情况；</w:t>
      </w:r>
    </w:p>
    <w:p>
      <w:pPr>
        <w:pStyle w:val="3"/>
        <w:spacing w:before="43"/>
        <w:ind w:left="720"/>
      </w:pPr>
      <w:r>
        <w:t>（八）应急救援器材、设备、物资配备情况；</w:t>
      </w:r>
    </w:p>
    <w:p>
      <w:pPr>
        <w:pStyle w:val="3"/>
        <w:spacing w:before="43"/>
        <w:ind w:left="720"/>
      </w:pPr>
      <w:r>
        <w:t>（九）预防和控制事故措施的落实情况。</w:t>
      </w:r>
    </w:p>
    <w:p>
      <w:pPr>
        <w:pStyle w:val="3"/>
        <w:spacing w:before="43" w:line="278" w:lineRule="auto"/>
        <w:ind w:right="297" w:firstLine="420"/>
        <w:jc w:val="both"/>
      </w:pPr>
      <w:r>
        <w:rPr>
          <w:spacing w:val="-4"/>
          <w:w w:val="95"/>
        </w:rPr>
        <w:t xml:space="preserve">安全生产监督管理部门在监督检查中发现重大危险源存在事故隐患的，应当责令立即排   </w:t>
      </w:r>
      <w:r>
        <w:rPr>
          <w:spacing w:val="-10"/>
          <w:w w:val="95"/>
        </w:rPr>
        <w:t xml:space="preserve">除；重大事故隐患排除前或者排除过程中无法保证安全的，应当责令从危险区域内撤出作业   </w:t>
      </w:r>
      <w:r>
        <w:rPr>
          <w:spacing w:val="-11"/>
        </w:rPr>
        <w:t>人员，责令暂时停产停业或者停止使用；重大事故隐患排除后，经安全生产监督管理部门审查同意，方可恢复生产经营和使用。</w:t>
      </w:r>
    </w:p>
    <w:p>
      <w:pPr>
        <w:pStyle w:val="3"/>
        <w:spacing w:line="278" w:lineRule="auto"/>
        <w:ind w:right="297" w:firstLine="420"/>
        <w:jc w:val="both"/>
      </w:pPr>
      <w:r>
        <w:rPr>
          <w:spacing w:val="-1"/>
        </w:rPr>
        <w:t>第三十一条 县级以上地方各级人民政府安全生产监督管理部门应当会同本级人民政府</w:t>
      </w:r>
      <w:r>
        <w:rPr>
          <w:spacing w:val="-7"/>
          <w:w w:val="95"/>
        </w:rPr>
        <w:t>有关部门，加强对工业</w:t>
      </w:r>
      <w:r>
        <w:rPr>
          <w:w w:val="95"/>
        </w:rPr>
        <w:t>（化工</w:t>
      </w:r>
      <w:r>
        <w:rPr>
          <w:spacing w:val="-22"/>
          <w:w w:val="95"/>
        </w:rPr>
        <w:t>）</w:t>
      </w:r>
      <w:r>
        <w:rPr>
          <w:spacing w:val="-2"/>
          <w:w w:val="95"/>
        </w:rPr>
        <w:t xml:space="preserve">园区等重大危险源集中区域的监督检查，确保重大危险源与   </w:t>
      </w:r>
      <w:r>
        <w:rPr>
          <w:spacing w:val="-2"/>
        </w:rPr>
        <w:t>周边单位、居民区、人员密集场所等重要目标和敏感场所之间保持适当的安全距离。</w:t>
      </w:r>
    </w:p>
    <w:p>
      <w:pPr>
        <w:pStyle w:val="2"/>
        <w:spacing w:line="269" w:lineRule="exact"/>
        <w:ind w:left="3664"/>
        <w:jc w:val="both"/>
      </w:pPr>
      <w:r>
        <w:t>第五章 法律责任</w:t>
      </w:r>
    </w:p>
    <w:p>
      <w:pPr>
        <w:pStyle w:val="3"/>
        <w:spacing w:before="42" w:line="278" w:lineRule="auto"/>
        <w:ind w:right="297" w:firstLine="420"/>
        <w:jc w:val="both"/>
      </w:pPr>
      <w:r>
        <w:rPr>
          <w:spacing w:val="-1"/>
        </w:rPr>
        <w:t>第三十二条 危险化学品单位有下列行为之一的，由县级以上人民政府安全生产监督管</w:t>
      </w:r>
      <w:r>
        <w:rPr>
          <w:spacing w:val="-3"/>
        </w:rPr>
        <w:t xml:space="preserve">理部门责令限期改正；逾期未改正的，责令停产停业整顿，可以并处 </w:t>
      </w:r>
      <w:r>
        <w:rPr>
          <w:rFonts w:ascii="Times New Roman" w:eastAsia="Times New Roman"/>
        </w:rPr>
        <w:t xml:space="preserve">2 </w:t>
      </w:r>
      <w:r>
        <w:rPr>
          <w:spacing w:val="-11"/>
        </w:rPr>
        <w:t xml:space="preserve">万元以上 </w:t>
      </w:r>
      <w:r>
        <w:rPr>
          <w:rFonts w:ascii="Times New Roman" w:eastAsia="Times New Roman"/>
        </w:rPr>
        <w:t xml:space="preserve">10 </w:t>
      </w:r>
      <w:r>
        <w:t>万元以下的罚款：</w:t>
      </w:r>
    </w:p>
    <w:p>
      <w:pPr>
        <w:pStyle w:val="3"/>
        <w:spacing w:line="269" w:lineRule="exact"/>
        <w:ind w:left="720"/>
      </w:pPr>
      <w:r>
        <w:t>（一）未按照本规定要求对重大危险源进行安全评估或者安全评价的；</w:t>
      </w:r>
    </w:p>
    <w:p>
      <w:pPr>
        <w:pStyle w:val="3"/>
        <w:spacing w:before="43"/>
        <w:ind w:left="720"/>
      </w:pPr>
      <w:r>
        <w:t>（二）未按照本规定要求对重大危险源进行登记建档的；</w:t>
      </w:r>
    </w:p>
    <w:p>
      <w:pPr>
        <w:pStyle w:val="3"/>
        <w:spacing w:before="43"/>
        <w:ind w:left="720"/>
      </w:pPr>
      <w:r>
        <w:t>（三）未按照本规定及相关标准要求对重大危险源进行安全监测监控的；</w:t>
      </w:r>
    </w:p>
    <w:p>
      <w:pPr>
        <w:pStyle w:val="3"/>
        <w:spacing w:before="43"/>
        <w:ind w:left="720"/>
      </w:pPr>
      <w:r>
        <w:t>（四）未制定重大危险源事故应急预案的。</w:t>
      </w:r>
    </w:p>
    <w:p>
      <w:pPr>
        <w:pStyle w:val="3"/>
        <w:spacing w:before="43" w:line="278" w:lineRule="auto"/>
        <w:ind w:right="300" w:firstLine="420"/>
      </w:pPr>
      <w:r>
        <w:t xml:space="preserve">第三十三条 危险化学品单位有下列行为之一的，由县级以上人民政府安全生产监督管理部门责令限期改正；逾期未改正的，责令停产停业整顿，并处 </w:t>
      </w:r>
      <w:r>
        <w:rPr>
          <w:rFonts w:ascii="Times New Roman" w:eastAsia="Times New Roman"/>
        </w:rPr>
        <w:t xml:space="preserve">5 </w:t>
      </w:r>
      <w:r>
        <w:t>万元以下的罚款：</w:t>
      </w:r>
    </w:p>
    <w:p>
      <w:pPr>
        <w:pStyle w:val="3"/>
        <w:spacing w:line="269" w:lineRule="exact"/>
        <w:ind w:left="720"/>
      </w:pPr>
      <w:r>
        <w:t>（一）未在构成重大危险源的场所设置明显的安全警示标志的；</w:t>
      </w:r>
    </w:p>
    <w:p>
      <w:pPr>
        <w:pStyle w:val="3"/>
        <w:spacing w:before="43"/>
        <w:ind w:left="720"/>
      </w:pPr>
      <w:r>
        <w:t>（二）未对重大危险源中的设备、设施等进行定期检测、检验的。</w:t>
      </w:r>
    </w:p>
    <w:p>
      <w:pPr>
        <w:pStyle w:val="3"/>
        <w:spacing w:before="43" w:line="278" w:lineRule="auto"/>
        <w:ind w:right="300" w:firstLine="420"/>
      </w:pPr>
      <w:r>
        <w:t xml:space="preserve">第三十四条 危险化学品单位有下列情形之一的，由县级以上人民政府安全生产监督管理部门给予警告，可以并处 </w:t>
      </w:r>
      <w:r>
        <w:rPr>
          <w:rFonts w:ascii="Times New Roman" w:eastAsia="Times New Roman"/>
        </w:rPr>
        <w:t xml:space="preserve">5000 </w:t>
      </w:r>
      <w:r>
        <w:t xml:space="preserve">元以上 </w:t>
      </w:r>
      <w:r>
        <w:rPr>
          <w:rFonts w:ascii="Times New Roman" w:eastAsia="Times New Roman"/>
        </w:rPr>
        <w:t xml:space="preserve">3 </w:t>
      </w:r>
      <w:r>
        <w:t>万元以下的罚款：</w:t>
      </w:r>
    </w:p>
    <w:p>
      <w:pPr>
        <w:pStyle w:val="3"/>
        <w:spacing w:line="269" w:lineRule="exact"/>
        <w:ind w:left="720"/>
      </w:pPr>
      <w:r>
        <w:t>（一）未按照标准对重大危险源进行辨识的；</w:t>
      </w:r>
    </w:p>
    <w:p>
      <w:pPr>
        <w:pStyle w:val="3"/>
        <w:spacing w:before="43"/>
        <w:ind w:left="720"/>
      </w:pPr>
      <w:r>
        <w:t>（二）未按照本规定明确重大危险源中关键装置、重点部位的责任人或者责任机构的；</w:t>
      </w:r>
    </w:p>
    <w:p>
      <w:pPr>
        <w:pStyle w:val="3"/>
        <w:spacing w:before="43" w:line="278" w:lineRule="auto"/>
        <w:ind w:right="299" w:firstLine="420"/>
      </w:pPr>
      <w:r>
        <w:rPr>
          <w:w w:val="95"/>
        </w:rPr>
        <w:t>（三</w:t>
      </w:r>
      <w:r>
        <w:rPr>
          <w:spacing w:val="-46"/>
          <w:w w:val="95"/>
        </w:rPr>
        <w:t>）</w:t>
      </w:r>
      <w:r>
        <w:rPr>
          <w:spacing w:val="-2"/>
          <w:w w:val="95"/>
        </w:rPr>
        <w:t xml:space="preserve">未按照本规定建立应急救援组织或者配备应急救援人员，以及配备必要的防护装  </w:t>
      </w:r>
      <w:r>
        <w:rPr>
          <w:spacing w:val="-2"/>
        </w:rPr>
        <w:t>备及器材、设备、物资，并保障其完好的；</w:t>
      </w:r>
    </w:p>
    <w:p>
      <w:pPr>
        <w:pStyle w:val="3"/>
        <w:spacing w:line="269" w:lineRule="exact"/>
        <w:ind w:left="720"/>
      </w:pPr>
      <w:r>
        <w:t>（四）未按照本规定进行重大危险源备案或者核销的；</w:t>
      </w:r>
    </w:p>
    <w:p>
      <w:pPr>
        <w:pStyle w:val="3"/>
        <w:spacing w:before="43" w:line="278" w:lineRule="auto"/>
        <w:ind w:right="206" w:firstLine="420"/>
      </w:pPr>
      <w:r>
        <w:rPr>
          <w:w w:val="95"/>
        </w:rPr>
        <w:t xml:space="preserve">（五）未将重大危险源可能引发的事故后果、应急措施等信息告知可能受影响的单位、  </w:t>
      </w:r>
      <w:r>
        <w:t>区域及人员的；</w:t>
      </w:r>
    </w:p>
    <w:p>
      <w:pPr>
        <w:pStyle w:val="3"/>
        <w:spacing w:line="269" w:lineRule="exact"/>
        <w:ind w:left="720"/>
      </w:pPr>
      <w:r>
        <w:t>（六）未按照本规定要求开展重大危险源事故应急预案演练的；</w:t>
      </w:r>
    </w:p>
    <w:p>
      <w:pPr>
        <w:pStyle w:val="3"/>
        <w:spacing w:before="43" w:line="278" w:lineRule="auto"/>
        <w:ind w:right="299" w:firstLine="420"/>
      </w:pPr>
      <w:r>
        <w:rPr>
          <w:w w:val="95"/>
        </w:rPr>
        <w:t>（七</w:t>
      </w:r>
      <w:r>
        <w:rPr>
          <w:spacing w:val="-46"/>
          <w:w w:val="95"/>
        </w:rPr>
        <w:t>）</w:t>
      </w:r>
      <w:r>
        <w:rPr>
          <w:spacing w:val="-2"/>
          <w:w w:val="95"/>
        </w:rPr>
        <w:t xml:space="preserve">未按照本规定对重大危险源的安全生产状况进行定期检查，采取措施消除事故隐  </w:t>
      </w:r>
      <w:r>
        <w:rPr>
          <w:spacing w:val="-2"/>
        </w:rPr>
        <w:t>患的。</w:t>
      </w:r>
    </w:p>
    <w:p>
      <w:pPr>
        <w:pStyle w:val="3"/>
        <w:spacing w:line="278" w:lineRule="auto"/>
        <w:ind w:right="297" w:firstLine="420"/>
        <w:jc w:val="both"/>
      </w:pPr>
      <w:r>
        <w:rPr>
          <w:spacing w:val="-1"/>
        </w:rPr>
        <w:t>第三十五条 承担检测、检验、安全评价工作的机构，出具虚假证明，构成犯罪的，依</w:t>
      </w:r>
      <w:r>
        <w:rPr>
          <w:spacing w:val="-7"/>
          <w:w w:val="95"/>
        </w:rPr>
        <w:t xml:space="preserve">照刑法有关规定追究刑事责任；尚不够刑事处罚的，由县级以上人民政府安全生产监督管理   </w:t>
      </w:r>
      <w:r>
        <w:rPr>
          <w:spacing w:val="-11"/>
        </w:rPr>
        <w:t xml:space="preserve">部门没收违法所得；违法所得在 </w:t>
      </w:r>
      <w:r>
        <w:rPr>
          <w:rFonts w:ascii="Times New Roman" w:eastAsia="Times New Roman"/>
        </w:rPr>
        <w:t xml:space="preserve">5000 </w:t>
      </w:r>
      <w:r>
        <w:rPr>
          <w:spacing w:val="-5"/>
        </w:rPr>
        <w:t xml:space="preserve">元以上的，并处违法所得 </w:t>
      </w:r>
      <w:r>
        <w:rPr>
          <w:rFonts w:ascii="Times New Roman" w:eastAsia="Times New Roman"/>
        </w:rPr>
        <w:t xml:space="preserve">2 </w:t>
      </w:r>
      <w:r>
        <w:rPr>
          <w:spacing w:val="-14"/>
        </w:rPr>
        <w:t xml:space="preserve">倍以上 </w:t>
      </w:r>
      <w:r>
        <w:rPr>
          <w:rFonts w:ascii="Times New Roman" w:eastAsia="Times New Roman"/>
        </w:rPr>
        <w:t xml:space="preserve">5 </w:t>
      </w:r>
      <w:r>
        <w:t>倍以下的罚款；</w:t>
      </w:r>
    </w:p>
    <w:p>
      <w:pPr>
        <w:pStyle w:val="3"/>
        <w:spacing w:line="269" w:lineRule="exact"/>
        <w:jc w:val="both"/>
      </w:pPr>
      <w:r>
        <w:t xml:space="preserve">没有违法所得或者违法所得不足 </w:t>
      </w:r>
      <w:r>
        <w:rPr>
          <w:rFonts w:ascii="Times New Roman" w:eastAsia="Times New Roman"/>
        </w:rPr>
        <w:t xml:space="preserve">5000 </w:t>
      </w:r>
      <w:r>
        <w:t xml:space="preserve">元的，单处或者并处 </w:t>
      </w:r>
      <w:r>
        <w:rPr>
          <w:rFonts w:ascii="Times New Roman" w:eastAsia="Times New Roman"/>
        </w:rPr>
        <w:t xml:space="preserve">5000 </w:t>
      </w:r>
      <w:r>
        <w:t xml:space="preserve">元以上 </w:t>
      </w:r>
      <w:r>
        <w:rPr>
          <w:rFonts w:ascii="Times New Roman" w:eastAsia="Times New Roman"/>
        </w:rPr>
        <w:t xml:space="preserve">2 </w:t>
      </w:r>
      <w:r>
        <w:t>万元以下的罚款；</w:t>
      </w:r>
    </w:p>
    <w:p>
      <w:pPr>
        <w:pStyle w:val="3"/>
        <w:spacing w:before="42" w:line="278" w:lineRule="auto"/>
        <w:ind w:right="297"/>
        <w:jc w:val="both"/>
      </w:pPr>
      <w:r>
        <w:rPr>
          <w:spacing w:val="-3"/>
        </w:rPr>
        <w:t xml:space="preserve">同时可对其直接负责的主管人员和其他直接责任人员处 </w:t>
      </w:r>
      <w:r>
        <w:rPr>
          <w:rFonts w:ascii="Times New Roman" w:eastAsia="Times New Roman"/>
        </w:rPr>
        <w:t xml:space="preserve">5000 </w:t>
      </w:r>
      <w:r>
        <w:rPr>
          <w:spacing w:val="-13"/>
        </w:rPr>
        <w:t xml:space="preserve">元以上 </w:t>
      </w:r>
      <w:r>
        <w:rPr>
          <w:rFonts w:ascii="Times New Roman" w:eastAsia="Times New Roman"/>
        </w:rPr>
        <w:t xml:space="preserve">5 </w:t>
      </w:r>
      <w:r>
        <w:t>万元以下的罚款；给他人造成损害的，与危险化学品单位承担连带赔偿责任。</w:t>
      </w:r>
    </w:p>
    <w:p>
      <w:pPr>
        <w:pStyle w:val="3"/>
        <w:spacing w:line="269" w:lineRule="exact"/>
        <w:ind w:left="720"/>
      </w:pPr>
      <w:r>
        <w:t>对有前款违法行为的机构，撤销其相应资格。</w:t>
      </w:r>
    </w:p>
    <w:p>
      <w:pPr>
        <w:pStyle w:val="3"/>
        <w:tabs>
          <w:tab w:val="left" w:pos="4927"/>
        </w:tabs>
        <w:spacing w:before="43" w:line="278" w:lineRule="auto"/>
        <w:ind w:left="720" w:right="3679" w:firstLine="3050"/>
      </w:pPr>
      <w:r>
        <w:rPr>
          <w:b/>
        </w:rPr>
        <w:t>第六章</w:t>
      </w:r>
      <w:r>
        <w:rPr>
          <w:b/>
          <w:spacing w:val="-3"/>
        </w:rPr>
        <w:t xml:space="preserve"> </w:t>
      </w:r>
      <w:r>
        <w:rPr>
          <w:b/>
        </w:rPr>
        <w:t>附</w:t>
      </w:r>
      <w:r>
        <w:rPr>
          <w:b/>
        </w:rPr>
        <w:tab/>
      </w:r>
      <w:r>
        <w:rPr>
          <w:b/>
        </w:rPr>
        <w:t>则</w:t>
      </w:r>
      <w:r>
        <w:t>第三十六条</w:t>
      </w:r>
      <w:r>
        <w:rPr>
          <w:spacing w:val="-5"/>
        </w:rPr>
        <w:t xml:space="preserve"> </w:t>
      </w:r>
      <w:r>
        <w:t>本规定自</w:t>
      </w:r>
      <w:r>
        <w:rPr>
          <w:spacing w:val="-52"/>
        </w:rPr>
        <w:t xml:space="preserve"> </w:t>
      </w:r>
      <w:r>
        <w:rPr>
          <w:rFonts w:ascii="Times New Roman" w:eastAsia="Times New Roman"/>
        </w:rPr>
        <w:t>2011</w:t>
      </w:r>
      <w:r>
        <w:rPr>
          <w:rFonts w:ascii="Times New Roman" w:eastAsia="Times New Roman"/>
          <w:spacing w:val="-4"/>
        </w:rPr>
        <w:t xml:space="preserve"> </w:t>
      </w:r>
      <w:r>
        <w:t>年</w:t>
      </w:r>
      <w:r>
        <w:rPr>
          <w:spacing w:val="-55"/>
        </w:rPr>
        <w:t xml:space="preserve"> </w:t>
      </w:r>
      <w:r>
        <w:rPr>
          <w:rFonts w:ascii="Times New Roman" w:eastAsia="Times New Roman"/>
        </w:rPr>
        <w:t>12</w:t>
      </w:r>
      <w:r>
        <w:rPr>
          <w:rFonts w:ascii="Times New Roman" w:eastAsia="Times New Roman"/>
          <w:spacing w:val="-3"/>
        </w:rPr>
        <w:t xml:space="preserve"> </w:t>
      </w:r>
      <w:r>
        <w:t>月</w:t>
      </w:r>
      <w:r>
        <w:rPr>
          <w:spacing w:val="-53"/>
        </w:rPr>
        <w:t xml:space="preserve"> </w:t>
      </w:r>
      <w:r>
        <w:rPr>
          <w:rFonts w:ascii="Times New Roman" w:eastAsia="Times New Roman"/>
        </w:rPr>
        <w:t>1</w:t>
      </w:r>
      <w:r>
        <w:rPr>
          <w:rFonts w:ascii="Times New Roman" w:eastAsia="Times New Roman"/>
          <w:spacing w:val="-3"/>
        </w:rPr>
        <w:t xml:space="preserve"> </w:t>
      </w:r>
      <w:r>
        <w:t>日起施行</w:t>
      </w:r>
      <w:r>
        <w:rPr>
          <w:spacing w:val="-10"/>
        </w:rPr>
        <w:t>。</w:t>
      </w:r>
      <w:r>
        <w:t>附件：</w:t>
      </w:r>
    </w:p>
    <w:p>
      <w:pPr>
        <w:pStyle w:val="3"/>
        <w:spacing w:before="66"/>
        <w:ind w:left="720"/>
      </w:pPr>
      <w:r>
        <w:fldChar w:fldCharType="begin"/>
      </w:r>
      <w:r>
        <w:instrText xml:space="preserve"> HYPERLINK "http://www.chinasafety.gov.cn/newpage/Contents/Channel_5351/2011/0921/149181/files_founder_1196526626/300602243.doc" \h </w:instrText>
      </w:r>
      <w:r>
        <w:fldChar w:fldCharType="separate"/>
      </w:r>
      <w:r>
        <w:rPr>
          <w:rFonts w:ascii="Times New Roman" w:eastAsia="Times New Roman"/>
        </w:rPr>
        <w:t>1</w:t>
      </w:r>
      <w:r>
        <w:t>、危险化学品重大危险源分级方法</w:t>
      </w:r>
      <w:r>
        <w:fldChar w:fldCharType="end"/>
      </w:r>
    </w:p>
    <w:p>
      <w:pPr>
        <w:spacing w:after="0" w:line="278" w:lineRule="auto"/>
        <w:ind w:firstLine="660" w:firstLineChars="300"/>
        <w:sectPr>
          <w:footerReference r:id="rId5" w:type="default"/>
          <w:pgSz w:w="11910" w:h="16840"/>
          <w:pgMar w:top="1380" w:right="1500" w:bottom="1180" w:left="1500" w:header="873" w:footer="989" w:gutter="0"/>
          <w:pgNumType w:start="520"/>
          <w:cols w:space="720" w:num="1"/>
        </w:sectPr>
      </w:pPr>
      <w:r>
        <w:fldChar w:fldCharType="begin"/>
      </w:r>
      <w:r>
        <w:instrText xml:space="preserve"> HYPERLINK "http://www.chinasafety.gov.cn/newpage/Contents/Channel_5351/2011/0921/149181/files_founder_1196526626/2825130246.doc" \h </w:instrText>
      </w:r>
      <w:r>
        <w:fldChar w:fldCharType="separate"/>
      </w:r>
      <w:r>
        <w:rPr>
          <w:rFonts w:ascii="Times New Roman" w:eastAsia="Times New Roman"/>
        </w:rPr>
        <w:t>2</w:t>
      </w:r>
      <w:r>
        <w:t>、可容许风险标准</w:t>
      </w:r>
      <w:r>
        <w:fldChar w:fldCharType="end"/>
      </w:r>
    </w:p>
    <w:p>
      <w:pPr>
        <w:pStyle w:val="3"/>
        <w:spacing w:before="4" w:line="620" w:lineRule="atLeast"/>
        <w:ind w:right="4394"/>
      </w:pPr>
      <w:bookmarkStart w:id="0" w:name="_GoBack"/>
      <w:bookmarkEnd w:id="0"/>
      <w:r>
        <w:t xml:space="preserve">附件 </w:t>
      </w:r>
      <w:r>
        <w:rPr>
          <w:rFonts w:ascii="Times New Roman" w:eastAsia="Times New Roman"/>
        </w:rPr>
        <w:t>1</w:t>
      </w:r>
      <w:r>
        <w:t>：危险化学品重大危险源分级方法</w:t>
      </w:r>
    </w:p>
    <w:p>
      <w:pPr>
        <w:pStyle w:val="3"/>
        <w:spacing w:before="4" w:line="620" w:lineRule="atLeast"/>
        <w:ind w:left="0" w:leftChars="0" w:right="4394" w:firstLine="630" w:firstLineChars="300"/>
      </w:pPr>
      <w:r>
        <w:t>一、分级指标</w:t>
      </w:r>
    </w:p>
    <w:p>
      <w:pPr>
        <w:pStyle w:val="3"/>
        <w:spacing w:before="47"/>
        <w:ind w:left="720"/>
      </w:pPr>
      <w:r>
        <w:t>采用单元内各种危险化学品实际存在（在线）量与其在《危险化学品重大危险源辨识》</w:t>
      </w:r>
    </w:p>
    <w:p>
      <w:pPr>
        <w:pStyle w:val="3"/>
        <w:spacing w:before="43" w:line="278" w:lineRule="auto"/>
        <w:ind w:left="720" w:right="759" w:hanging="420"/>
      </w:pPr>
      <w:r>
        <w:t>（</w:t>
      </w:r>
      <w:r>
        <w:rPr>
          <w:rFonts w:ascii="Times New Roman" w:eastAsia="Times New Roman"/>
        </w:rPr>
        <w:t>GB18218</w:t>
      </w:r>
      <w:r>
        <w:t xml:space="preserve">）中规定的临界量比值，经校正系数校正后的比值之和 </w:t>
      </w:r>
      <w:r>
        <w:rPr>
          <w:rFonts w:ascii="Times New Roman" w:eastAsia="Times New Roman"/>
        </w:rPr>
        <w:t xml:space="preserve">R </w:t>
      </w:r>
      <w:r>
        <w:t>作为分级指标。二、</w:t>
      </w:r>
      <w:r>
        <w:rPr>
          <w:rFonts w:ascii="Times New Roman" w:eastAsia="Times New Roman"/>
        </w:rPr>
        <w:t xml:space="preserve">R </w:t>
      </w:r>
      <w:r>
        <w:t>的计算方法</w:t>
      </w:r>
    </w:p>
    <w:p>
      <w:pPr>
        <w:tabs>
          <w:tab w:val="left" w:pos="1772"/>
          <w:tab w:val="left" w:pos="2425"/>
          <w:tab w:val="left" w:pos="3471"/>
        </w:tabs>
        <w:spacing w:before="18" w:line="118" w:lineRule="exact"/>
        <w:ind w:left="1429" w:right="0" w:firstLine="0"/>
        <w:jc w:val="left"/>
        <w:rPr>
          <w:rFonts w:ascii="Symbol" w:hAnsi="Symbol"/>
          <w:sz w:val="19"/>
        </w:rPr>
      </w:pPr>
      <w:r>
        <w:rPr>
          <w:rFonts w:ascii="Symbol" w:hAnsi="Symbol"/>
          <w:position w:val="1"/>
          <w:sz w:val="19"/>
        </w:rPr>
        <w:t></w:t>
      </w:r>
      <w:r>
        <w:rPr>
          <w:rFonts w:ascii="Times New Roman" w:hAnsi="Times New Roman"/>
          <w:position w:val="1"/>
          <w:sz w:val="19"/>
        </w:rPr>
        <w:tab/>
      </w:r>
      <w:r>
        <w:rPr>
          <w:rFonts w:ascii="Times New Roman" w:hAnsi="Times New Roman"/>
          <w:i/>
          <w:spacing w:val="-3"/>
          <w:sz w:val="19"/>
        </w:rPr>
        <w:t>q</w:t>
      </w:r>
      <w:r>
        <w:rPr>
          <w:rFonts w:ascii="Times New Roman" w:hAnsi="Times New Roman"/>
          <w:spacing w:val="-3"/>
          <w:position w:val="-4"/>
          <w:sz w:val="11"/>
        </w:rPr>
        <w:t>1</w:t>
      </w:r>
      <w:r>
        <w:rPr>
          <w:rFonts w:ascii="Times New Roman" w:hAnsi="Times New Roman"/>
          <w:spacing w:val="-3"/>
          <w:position w:val="-4"/>
          <w:sz w:val="11"/>
        </w:rPr>
        <w:tab/>
      </w:r>
      <w:r>
        <w:rPr>
          <w:rFonts w:ascii="Times New Roman" w:hAnsi="Times New Roman"/>
          <w:i/>
          <w:spacing w:val="3"/>
          <w:sz w:val="19"/>
        </w:rPr>
        <w:t>q</w:t>
      </w:r>
      <w:r>
        <w:rPr>
          <w:rFonts w:ascii="Times New Roman" w:hAnsi="Times New Roman"/>
          <w:spacing w:val="3"/>
          <w:position w:val="-4"/>
          <w:sz w:val="11"/>
        </w:rPr>
        <w:t>2</w:t>
      </w:r>
      <w:r>
        <w:rPr>
          <w:rFonts w:ascii="Times New Roman" w:hAnsi="Times New Roman"/>
          <w:spacing w:val="3"/>
          <w:position w:val="-4"/>
          <w:sz w:val="11"/>
        </w:rPr>
        <w:tab/>
      </w:r>
      <w:r>
        <w:rPr>
          <w:rFonts w:ascii="Times New Roman" w:hAnsi="Times New Roman"/>
          <w:i/>
          <w:spacing w:val="3"/>
          <w:sz w:val="19"/>
        </w:rPr>
        <w:t>q</w:t>
      </w:r>
      <w:r>
        <w:rPr>
          <w:rFonts w:ascii="Times New Roman" w:hAnsi="Times New Roman"/>
          <w:i/>
          <w:spacing w:val="3"/>
          <w:position w:val="-4"/>
          <w:sz w:val="11"/>
        </w:rPr>
        <w:t>n</w:t>
      </w:r>
      <w:r>
        <w:rPr>
          <w:rFonts w:ascii="Times New Roman" w:hAnsi="Times New Roman"/>
          <w:i/>
          <w:spacing w:val="16"/>
          <w:position w:val="-4"/>
          <w:sz w:val="11"/>
        </w:rPr>
        <w:t xml:space="preserve"> </w:t>
      </w:r>
      <w:r>
        <w:rPr>
          <w:rFonts w:ascii="Symbol" w:hAnsi="Symbol"/>
          <w:position w:val="1"/>
          <w:sz w:val="19"/>
        </w:rPr>
        <w:t></w:t>
      </w:r>
    </w:p>
    <w:p>
      <w:pPr>
        <w:pStyle w:val="3"/>
        <w:spacing w:before="1"/>
        <w:ind w:left="0"/>
        <w:rPr>
          <w:rFonts w:ascii="Symbol" w:hAnsi="Symbol"/>
          <w:sz w:val="9"/>
        </w:rPr>
      </w:pPr>
      <w:r>
        <mc:AlternateContent>
          <mc:Choice Requires="wps">
            <w:drawing>
              <wp:anchor distT="0" distB="0" distL="114300" distR="114300" simplePos="0" relativeHeight="251661312" behindDoc="1" locked="0" layoutInCell="1" allowOverlap="1">
                <wp:simplePos x="0" y="0"/>
                <wp:positionH relativeFrom="page">
                  <wp:posOffset>2059940</wp:posOffset>
                </wp:positionH>
                <wp:positionV relativeFrom="paragraph">
                  <wp:posOffset>98425</wp:posOffset>
                </wp:positionV>
                <wp:extent cx="135890" cy="0"/>
                <wp:effectExtent l="0" t="0" r="0" b="0"/>
                <wp:wrapTopAndBottom/>
                <wp:docPr id="4" name="直线 5"/>
                <wp:cNvGraphicFramePr/>
                <a:graphic xmlns:a="http://schemas.openxmlformats.org/drawingml/2006/main">
                  <a:graphicData uri="http://schemas.microsoft.com/office/word/2010/wordprocessingShape">
                    <wps:wsp>
                      <wps:cNvCnPr/>
                      <wps:spPr>
                        <a:xfrm>
                          <a:off x="0" y="0"/>
                          <a:ext cx="135890" cy="0"/>
                        </a:xfrm>
                        <a:prstGeom prst="line">
                          <a:avLst/>
                        </a:prstGeom>
                        <a:ln w="5131"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62.2pt;margin-top:7.75pt;height:0pt;width:10.7pt;mso-position-horizontal-relative:page;mso-wrap-distance-bottom:0pt;mso-wrap-distance-top:0pt;z-index:-251655168;mso-width-relative:page;mso-height-relative:page;" filled="f" stroked="t" coordsize="21600,21600" o:gfxdata="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rZh/Y&#10;AAAACQEAAA8AAAAAAAAAAQAgAAAAIgAAAGRycy9kb3ducmV2LnhtbFBLAQIUABQAAAAIAIdO4kBI&#10;bR7V5wEAANoDAAAOAAAAAAAAAAEAIAAAACcBAABkcnMvZTJvRG9jLnhtbFBLBQYAAAAABgAGAFkB&#10;AACABQAAAAA=&#10;">
                <v:fill on="f" focussize="0,0"/>
                <v:stroke weight="0.404015748031496pt" color="#000000" joinstyle="round"/>
                <v:imagedata o:title=""/>
                <o:lock v:ext="edit" aspectratio="f"/>
                <w10:wrap type="topAndBottom"/>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2473960</wp:posOffset>
                </wp:positionH>
                <wp:positionV relativeFrom="paragraph">
                  <wp:posOffset>98425</wp:posOffset>
                </wp:positionV>
                <wp:extent cx="149225"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149225" cy="0"/>
                        </a:xfrm>
                        <a:prstGeom prst="line">
                          <a:avLst/>
                        </a:prstGeom>
                        <a:ln w="5131"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94.8pt;margin-top:7.75pt;height:0pt;width:11.75pt;mso-position-horizontal-relative:page;mso-wrap-distance-bottom:0pt;mso-wrap-distance-top:0pt;z-index:-251654144;mso-width-relative:page;mso-height-relative:page;" filled="f" stroked="t" coordsize="21600,21600" o:gfxdata="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39JiNgA&#10;AAAJAQAADwAAAAAAAAABACAAAAAiAAAAZHJzL2Rvd25yZXYueG1sUEsBAhQAFAAAAAgAh07iQG2b&#10;DgXmAQAA2gMAAA4AAAAAAAAAAQAgAAAAJwEAAGRycy9lMm9Eb2MueG1sUEsFBgAAAAAGAAYAWQEA&#10;AH8FAAAAAA==&#10;">
                <v:fill on="f" focussize="0,0"/>
                <v:stroke weight="0.404015748031496pt" color="#000000" joinstyle="round"/>
                <v:imagedata o:title=""/>
                <o:lock v:ext="edit" aspectratio="f"/>
                <w10:wrap type="topAndBottom"/>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3138170</wp:posOffset>
                </wp:positionH>
                <wp:positionV relativeFrom="paragraph">
                  <wp:posOffset>98425</wp:posOffset>
                </wp:positionV>
                <wp:extent cx="150495" cy="0"/>
                <wp:effectExtent l="0" t="0" r="0" b="0"/>
                <wp:wrapTopAndBottom/>
                <wp:docPr id="6" name="直线 7"/>
                <wp:cNvGraphicFramePr/>
                <a:graphic xmlns:a="http://schemas.openxmlformats.org/drawingml/2006/main">
                  <a:graphicData uri="http://schemas.microsoft.com/office/word/2010/wordprocessingShape">
                    <wps:wsp>
                      <wps:cNvCnPr/>
                      <wps:spPr>
                        <a:xfrm>
                          <a:off x="0" y="0"/>
                          <a:ext cx="150495" cy="0"/>
                        </a:xfrm>
                        <a:prstGeom prst="line">
                          <a:avLst/>
                        </a:prstGeom>
                        <a:ln w="5131"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47.1pt;margin-top:7.75pt;height:0pt;width:11.85pt;mso-position-horizontal-relative:page;mso-wrap-distance-bottom:0pt;mso-wrap-distance-top:0pt;z-index:-251653120;mso-width-relative:page;mso-height-relative:page;" filled="f" stroked="t" coordsize="21600,21600" o:gfxdata="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gsD7X&#10;AAAACQEAAA8AAAAAAAAAAQAgAAAAIgAAAGRycy9kb3ducmV2LnhtbFBLAQIUABQAAAAIAIdO4kCY&#10;AF7i6AEAANoDAAAOAAAAAAAAAAEAIAAAACYBAABkcnMvZTJvRG9jLnhtbFBLBQYAAAAABgAGAFkB&#10;AACABQAAAAA=&#10;">
                <v:fill on="f" focussize="0,0"/>
                <v:stroke weight="0.404015748031496pt" color="#000000" joinstyle="round"/>
                <v:imagedata o:title=""/>
                <o:lock v:ext="edit" aspectratio="f"/>
                <w10:wrap type="topAndBottom"/>
              </v:line>
            </w:pict>
          </mc:Fallback>
        </mc:AlternateContent>
      </w:r>
    </w:p>
    <w:p>
      <w:pPr>
        <w:spacing w:before="0" w:line="7" w:lineRule="auto"/>
        <w:ind w:left="966" w:right="0" w:firstLine="0"/>
        <w:jc w:val="left"/>
        <w:rPr>
          <w:rFonts w:ascii="Symbol" w:hAnsi="Symbol"/>
          <w:sz w:val="19"/>
        </w:rPr>
      </w:pPr>
      <w:r>
        <w:rPr>
          <w:rFonts w:ascii="Times New Roman" w:hAnsi="Times New Roman"/>
          <w:i/>
          <w:w w:val="101"/>
          <w:sz w:val="19"/>
        </w:rPr>
        <w:t>R</w:t>
      </w:r>
      <w:r>
        <w:rPr>
          <w:rFonts w:ascii="Times New Roman" w:hAnsi="Times New Roman"/>
          <w:i/>
          <w:spacing w:val="10"/>
          <w:sz w:val="19"/>
        </w:rPr>
        <w:t xml:space="preserve"> </w:t>
      </w:r>
      <w:r>
        <w:rPr>
          <w:rFonts w:ascii="Symbol" w:hAnsi="Symbol"/>
          <w:w w:val="101"/>
          <w:sz w:val="19"/>
        </w:rPr>
        <w:t></w:t>
      </w:r>
      <w:r>
        <w:rPr>
          <w:rFonts w:ascii="Times New Roman" w:hAnsi="Times New Roman"/>
          <w:spacing w:val="-23"/>
          <w:sz w:val="19"/>
        </w:rPr>
        <w:t xml:space="preserve"> </w:t>
      </w:r>
      <w:r>
        <w:rPr>
          <w:rFonts w:ascii="Symbol" w:hAnsi="Symbol"/>
          <w:i/>
          <w:spacing w:val="-39"/>
          <w:w w:val="96"/>
          <w:sz w:val="20"/>
        </w:rPr>
        <w:t></w:t>
      </w:r>
      <w:r>
        <w:rPr>
          <w:rFonts w:ascii="Symbol" w:hAnsi="Symbol"/>
          <w:spacing w:val="-74"/>
          <w:w w:val="101"/>
          <w:position w:val="1"/>
          <w:sz w:val="19"/>
        </w:rPr>
        <w:t></w:t>
      </w:r>
      <w:r>
        <w:rPr>
          <w:rFonts w:ascii="Symbol" w:hAnsi="Symbol"/>
          <w:spacing w:val="14"/>
          <w:w w:val="101"/>
          <w:position w:val="-7"/>
          <w:sz w:val="19"/>
        </w:rPr>
        <w:t></w:t>
      </w:r>
      <w:r>
        <w:rPr>
          <w:rFonts w:ascii="Symbol" w:hAnsi="Symbol"/>
          <w:i/>
          <w:spacing w:val="-59"/>
          <w:w w:val="96"/>
          <w:sz w:val="20"/>
        </w:rPr>
        <w:t></w:t>
      </w:r>
      <w:r>
        <w:rPr>
          <w:rFonts w:ascii="Times New Roman" w:hAnsi="Times New Roman"/>
          <w:w w:val="101"/>
          <w:position w:val="-4"/>
          <w:sz w:val="11"/>
        </w:rPr>
        <w:t>1</w:t>
      </w:r>
      <w:r>
        <w:rPr>
          <w:rFonts w:ascii="Times New Roman" w:hAnsi="Times New Roman"/>
          <w:position w:val="-4"/>
          <w:sz w:val="11"/>
        </w:rPr>
        <w:t xml:space="preserve">  </w:t>
      </w:r>
      <w:r>
        <w:rPr>
          <w:rFonts w:ascii="Times New Roman" w:hAnsi="Times New Roman"/>
          <w:i/>
          <w:w w:val="101"/>
          <w:position w:val="-14"/>
          <w:sz w:val="19"/>
        </w:rPr>
        <w:t>Q</w:t>
      </w:r>
      <w:r>
        <w:rPr>
          <w:rFonts w:ascii="Times New Roman" w:hAnsi="Times New Roman"/>
          <w:i/>
          <w:position w:val="-14"/>
          <w:sz w:val="19"/>
        </w:rPr>
        <w:t xml:space="preserve"> </w:t>
      </w:r>
      <w:r>
        <w:rPr>
          <w:rFonts w:ascii="Times New Roman" w:hAnsi="Times New Roman"/>
          <w:i/>
          <w:spacing w:val="21"/>
          <w:position w:val="-14"/>
          <w:sz w:val="19"/>
        </w:rPr>
        <w:t xml:space="preserve"> </w:t>
      </w:r>
      <w:r>
        <w:rPr>
          <w:rFonts w:ascii="Symbol" w:hAnsi="Symbol"/>
          <w:w w:val="101"/>
          <w:sz w:val="19"/>
        </w:rPr>
        <w:t></w:t>
      </w:r>
      <w:r>
        <w:rPr>
          <w:rFonts w:ascii="Times New Roman" w:hAnsi="Times New Roman"/>
          <w:spacing w:val="-11"/>
          <w:sz w:val="19"/>
        </w:rPr>
        <w:t xml:space="preserve"> </w:t>
      </w:r>
      <w:r>
        <w:rPr>
          <w:rFonts w:ascii="Symbol" w:hAnsi="Symbol"/>
          <w:i/>
          <w:spacing w:val="-46"/>
          <w:w w:val="96"/>
          <w:sz w:val="20"/>
        </w:rPr>
        <w:t></w:t>
      </w:r>
      <w:r>
        <w:rPr>
          <w:rFonts w:ascii="Times New Roman" w:hAnsi="Times New Roman"/>
          <w:w w:val="101"/>
          <w:position w:val="-4"/>
          <w:sz w:val="11"/>
        </w:rPr>
        <w:t>2</w:t>
      </w:r>
      <w:r>
        <w:rPr>
          <w:rFonts w:ascii="Times New Roman" w:hAnsi="Times New Roman"/>
          <w:position w:val="-4"/>
          <w:sz w:val="11"/>
        </w:rPr>
        <w:t xml:space="preserve"> </w:t>
      </w:r>
      <w:r>
        <w:rPr>
          <w:rFonts w:ascii="Times New Roman" w:hAnsi="Times New Roman"/>
          <w:spacing w:val="9"/>
          <w:position w:val="-4"/>
          <w:sz w:val="11"/>
        </w:rPr>
        <w:t xml:space="preserve"> </w:t>
      </w:r>
      <w:r>
        <w:rPr>
          <w:rFonts w:ascii="Times New Roman" w:hAnsi="Times New Roman"/>
          <w:i/>
          <w:w w:val="101"/>
          <w:position w:val="-14"/>
          <w:sz w:val="19"/>
        </w:rPr>
        <w:t>Q</w:t>
      </w:r>
      <w:r>
        <w:rPr>
          <w:rFonts w:ascii="Times New Roman" w:hAnsi="Times New Roman"/>
          <w:i/>
          <w:position w:val="-14"/>
          <w:sz w:val="19"/>
        </w:rPr>
        <w:t xml:space="preserve">  </w:t>
      </w:r>
      <w:r>
        <w:rPr>
          <w:rFonts w:ascii="Times New Roman" w:hAnsi="Times New Roman"/>
          <w:i/>
          <w:spacing w:val="-5"/>
          <w:position w:val="-14"/>
          <w:sz w:val="19"/>
        </w:rPr>
        <w:t xml:space="preserve"> </w:t>
      </w:r>
      <w:r>
        <w:rPr>
          <w:rFonts w:ascii="Symbol" w:hAnsi="Symbol"/>
          <w:w w:val="101"/>
          <w:sz w:val="19"/>
        </w:rPr>
        <w:t></w:t>
      </w:r>
      <w:r>
        <w:rPr>
          <w:rFonts w:ascii="Times New Roman" w:hAnsi="Times New Roman"/>
          <w:spacing w:val="-10"/>
          <w:sz w:val="19"/>
        </w:rPr>
        <w:t xml:space="preserve"> </w:t>
      </w:r>
      <w:r>
        <w:rPr>
          <w:rFonts w:ascii="Symbol" w:hAnsi="Symbol"/>
          <w:w w:val="101"/>
          <w:sz w:val="19"/>
        </w:rPr>
        <w:t></w:t>
      </w:r>
      <w:r>
        <w:rPr>
          <w:rFonts w:ascii="Times New Roman" w:hAnsi="Times New Roman"/>
          <w:spacing w:val="-23"/>
          <w:sz w:val="19"/>
        </w:rPr>
        <w:t xml:space="preserve"> </w:t>
      </w:r>
      <w:r>
        <w:rPr>
          <w:rFonts w:ascii="Symbol" w:hAnsi="Symbol"/>
          <w:w w:val="101"/>
          <w:sz w:val="19"/>
        </w:rPr>
        <w:t></w:t>
      </w:r>
      <w:r>
        <w:rPr>
          <w:rFonts w:ascii="Times New Roman" w:hAnsi="Times New Roman"/>
          <w:spacing w:val="-23"/>
          <w:sz w:val="19"/>
        </w:rPr>
        <w:t xml:space="preserve"> </w:t>
      </w:r>
      <w:r>
        <w:rPr>
          <w:rFonts w:ascii="Symbol" w:hAnsi="Symbol"/>
          <w:w w:val="101"/>
          <w:sz w:val="19"/>
        </w:rPr>
        <w:t></w:t>
      </w:r>
      <w:r>
        <w:rPr>
          <w:rFonts w:ascii="Times New Roman" w:hAnsi="Times New Roman"/>
          <w:spacing w:val="-14"/>
          <w:sz w:val="19"/>
        </w:rPr>
        <w:t xml:space="preserve"> </w:t>
      </w:r>
      <w:r>
        <w:rPr>
          <w:rFonts w:ascii="Symbol" w:hAnsi="Symbol"/>
          <w:w w:val="101"/>
          <w:sz w:val="19"/>
        </w:rPr>
        <w:t></w:t>
      </w:r>
      <w:r>
        <w:rPr>
          <w:rFonts w:ascii="Times New Roman" w:hAnsi="Times New Roman"/>
          <w:spacing w:val="-11"/>
          <w:sz w:val="19"/>
        </w:rPr>
        <w:t xml:space="preserve"> </w:t>
      </w:r>
      <w:r>
        <w:rPr>
          <w:rFonts w:ascii="Symbol" w:hAnsi="Symbol"/>
          <w:i/>
          <w:spacing w:val="-46"/>
          <w:w w:val="96"/>
          <w:sz w:val="20"/>
        </w:rPr>
        <w:t></w:t>
      </w:r>
      <w:r>
        <w:rPr>
          <w:rFonts w:ascii="Times New Roman" w:hAnsi="Times New Roman"/>
          <w:i/>
          <w:w w:val="101"/>
          <w:position w:val="-4"/>
          <w:sz w:val="11"/>
        </w:rPr>
        <w:t>n</w:t>
      </w:r>
      <w:r>
        <w:rPr>
          <w:rFonts w:ascii="Times New Roman" w:hAnsi="Times New Roman"/>
          <w:i/>
          <w:position w:val="-4"/>
          <w:sz w:val="11"/>
        </w:rPr>
        <w:t xml:space="preserve"> </w:t>
      </w:r>
      <w:r>
        <w:rPr>
          <w:rFonts w:ascii="Times New Roman" w:hAnsi="Times New Roman"/>
          <w:i/>
          <w:spacing w:val="11"/>
          <w:position w:val="-4"/>
          <w:sz w:val="11"/>
        </w:rPr>
        <w:t xml:space="preserve"> </w:t>
      </w:r>
      <w:r>
        <w:rPr>
          <w:rFonts w:ascii="Times New Roman" w:hAnsi="Times New Roman"/>
          <w:i/>
          <w:w w:val="101"/>
          <w:position w:val="-14"/>
          <w:sz w:val="19"/>
        </w:rPr>
        <w:t>Q</w:t>
      </w:r>
      <w:r>
        <w:rPr>
          <w:rFonts w:ascii="Times New Roman" w:hAnsi="Times New Roman"/>
          <w:i/>
          <w:position w:val="-14"/>
          <w:sz w:val="19"/>
        </w:rPr>
        <w:t xml:space="preserve"> </w:t>
      </w:r>
      <w:r>
        <w:rPr>
          <w:rFonts w:ascii="Times New Roman" w:hAnsi="Times New Roman"/>
          <w:i/>
          <w:spacing w:val="21"/>
          <w:position w:val="-14"/>
          <w:sz w:val="19"/>
        </w:rPr>
        <w:t xml:space="preserve"> </w:t>
      </w:r>
      <w:r>
        <w:rPr>
          <w:rFonts w:ascii="Symbol" w:hAnsi="Symbol"/>
          <w:w w:val="101"/>
          <w:position w:val="1"/>
          <w:sz w:val="19"/>
        </w:rPr>
        <w:t></w:t>
      </w:r>
    </w:p>
    <w:p>
      <w:pPr>
        <w:tabs>
          <w:tab w:val="left" w:pos="1878"/>
          <w:tab w:val="left" w:pos="2543"/>
          <w:tab w:val="left" w:pos="3590"/>
        </w:tabs>
        <w:spacing w:before="0" w:line="101" w:lineRule="exact"/>
        <w:ind w:left="1429" w:right="0" w:firstLine="0"/>
        <w:jc w:val="left"/>
        <w:rPr>
          <w:rFonts w:ascii="Symbol" w:hAnsi="Symbol"/>
          <w:sz w:val="19"/>
        </w:rPr>
      </w:pPr>
      <w:r>
        <w:rPr>
          <w:rFonts w:ascii="Symbol" w:hAnsi="Symbol"/>
          <w:sz w:val="19"/>
        </w:rPr>
        <w:t></w:t>
      </w:r>
      <w:r>
        <w:rPr>
          <w:rFonts w:ascii="Times New Roman" w:hAnsi="Times New Roman"/>
          <w:sz w:val="19"/>
        </w:rPr>
        <w:tab/>
      </w:r>
      <w:r>
        <w:rPr>
          <w:rFonts w:ascii="Times New Roman" w:hAnsi="Times New Roman"/>
          <w:sz w:val="11"/>
        </w:rPr>
        <w:t>1</w:t>
      </w:r>
      <w:r>
        <w:rPr>
          <w:rFonts w:ascii="Times New Roman" w:hAnsi="Times New Roman"/>
          <w:sz w:val="11"/>
        </w:rPr>
        <w:tab/>
      </w:r>
      <w:r>
        <w:rPr>
          <w:rFonts w:ascii="Times New Roman" w:hAnsi="Times New Roman"/>
          <w:sz w:val="11"/>
        </w:rPr>
        <w:t>2</w:t>
      </w:r>
      <w:r>
        <w:rPr>
          <w:rFonts w:ascii="Times New Roman" w:hAnsi="Times New Roman"/>
          <w:sz w:val="11"/>
        </w:rPr>
        <w:tab/>
      </w:r>
      <w:r>
        <w:rPr>
          <w:rFonts w:ascii="Times New Roman" w:hAnsi="Times New Roman"/>
          <w:i/>
          <w:sz w:val="11"/>
        </w:rPr>
        <w:t>n</w:t>
      </w:r>
      <w:r>
        <w:rPr>
          <w:rFonts w:ascii="Times New Roman" w:hAnsi="Times New Roman"/>
          <w:i/>
          <w:spacing w:val="4"/>
          <w:sz w:val="11"/>
        </w:rPr>
        <w:t xml:space="preserve"> </w:t>
      </w:r>
      <w:r>
        <w:rPr>
          <w:rFonts w:ascii="Symbol" w:hAnsi="Symbol"/>
          <w:sz w:val="19"/>
        </w:rPr>
        <w:t></w:t>
      </w:r>
    </w:p>
    <w:p>
      <w:pPr>
        <w:pStyle w:val="3"/>
        <w:spacing w:before="42"/>
        <w:ind w:left="720"/>
      </w:pPr>
      <w:r>
        <w:t>式中：</w:t>
      </w:r>
    </w:p>
    <w:p>
      <w:pPr>
        <w:spacing w:after="0"/>
        <w:sectPr>
          <w:pgSz w:w="11910" w:h="16840"/>
          <w:pgMar w:top="1380" w:right="1500" w:bottom="1180" w:left="1500" w:header="873" w:footer="989" w:gutter="0"/>
          <w:cols w:space="720" w:num="1"/>
        </w:sectPr>
      </w:pPr>
    </w:p>
    <w:p>
      <w:pPr>
        <w:pStyle w:val="3"/>
        <w:spacing w:before="40" w:line="273" w:lineRule="auto"/>
        <w:ind w:left="720"/>
      </w:pPr>
      <w:r>
        <w:rPr>
          <w:rFonts w:ascii="Times New Roman" w:hAnsi="Times New Roman" w:eastAsia="Times New Roman"/>
          <w:position w:val="2"/>
        </w:rPr>
        <w:t>q</w:t>
      </w:r>
      <w:r>
        <w:rPr>
          <w:rFonts w:ascii="Times New Roman" w:hAnsi="Times New Roman" w:eastAsia="Times New Roman"/>
          <w:position w:val="2"/>
          <w:vertAlign w:val="subscript"/>
        </w:rPr>
        <w:t>1</w:t>
      </w:r>
      <w:r>
        <w:rPr>
          <w:rFonts w:ascii="Times New Roman" w:hAnsi="Times New Roman" w:eastAsia="Times New Roman"/>
          <w:position w:val="2"/>
          <w:vertAlign w:val="baseline"/>
        </w:rPr>
        <w:t>,q</w:t>
      </w:r>
      <w:r>
        <w:rPr>
          <w:rFonts w:ascii="Times New Roman" w:hAnsi="Times New Roman" w:eastAsia="Times New Roman"/>
          <w:position w:val="2"/>
          <w:vertAlign w:val="subscript"/>
        </w:rPr>
        <w:t>2</w:t>
      </w:r>
      <w:r>
        <w:rPr>
          <w:rFonts w:ascii="Times New Roman" w:hAnsi="Times New Roman" w:eastAsia="Times New Roman"/>
          <w:position w:val="2"/>
          <w:vertAlign w:val="baseline"/>
        </w:rPr>
        <w:t>,</w:t>
      </w:r>
      <w:r>
        <w:rPr>
          <w:position w:val="2"/>
          <w:vertAlign w:val="baseline"/>
        </w:rPr>
        <w:t>…</w:t>
      </w:r>
      <w:r>
        <w:rPr>
          <w:rFonts w:ascii="Times New Roman" w:hAnsi="Times New Roman" w:eastAsia="Times New Roman"/>
          <w:position w:val="2"/>
          <w:vertAlign w:val="baseline"/>
        </w:rPr>
        <w:t>,q</w:t>
      </w:r>
      <w:r>
        <w:rPr>
          <w:rFonts w:ascii="Times New Roman" w:hAnsi="Times New Roman" w:eastAsia="Times New Roman"/>
          <w:position w:val="2"/>
          <w:vertAlign w:val="subscript"/>
        </w:rPr>
        <w:t>n</w:t>
      </w:r>
      <w:r>
        <w:rPr>
          <w:rFonts w:ascii="Times New Roman" w:hAnsi="Times New Roman" w:eastAsia="Times New Roman"/>
          <w:position w:val="2"/>
          <w:vertAlign w:val="baseline"/>
        </w:rPr>
        <w:t xml:space="preserve"> </w:t>
      </w:r>
      <w:r>
        <w:rPr>
          <w:position w:val="2"/>
          <w:vertAlign w:val="baseline"/>
        </w:rPr>
        <w:t xml:space="preserve">—每种危险化学品实际存在（在线）量（单位：吨）； </w:t>
      </w:r>
      <w:r>
        <w:rPr>
          <w:rFonts w:ascii="Times New Roman" w:hAnsi="Times New Roman" w:eastAsia="Times New Roman"/>
          <w:position w:val="2"/>
          <w:vertAlign w:val="baseline"/>
        </w:rPr>
        <w:t>Q</w:t>
      </w:r>
      <w:r>
        <w:rPr>
          <w:rFonts w:ascii="Times New Roman" w:hAnsi="Times New Roman" w:eastAsia="Times New Roman"/>
          <w:position w:val="2"/>
          <w:vertAlign w:val="subscript"/>
        </w:rPr>
        <w:t>1</w:t>
      </w:r>
      <w:r>
        <w:rPr>
          <w:rFonts w:ascii="Times New Roman" w:hAnsi="Times New Roman" w:eastAsia="Times New Roman"/>
          <w:position w:val="2"/>
          <w:vertAlign w:val="baseline"/>
        </w:rPr>
        <w:t>,Q</w:t>
      </w:r>
      <w:r>
        <w:rPr>
          <w:rFonts w:ascii="Times New Roman" w:hAnsi="Times New Roman" w:eastAsia="Times New Roman"/>
          <w:position w:val="2"/>
          <w:vertAlign w:val="subscript"/>
        </w:rPr>
        <w:t>2</w:t>
      </w:r>
      <w:r>
        <w:rPr>
          <w:rFonts w:ascii="Times New Roman" w:hAnsi="Times New Roman" w:eastAsia="Times New Roman"/>
          <w:position w:val="2"/>
          <w:vertAlign w:val="baseline"/>
        </w:rPr>
        <w:t>,</w:t>
      </w:r>
      <w:r>
        <w:rPr>
          <w:position w:val="2"/>
          <w:vertAlign w:val="baseline"/>
        </w:rPr>
        <w:t>…</w:t>
      </w:r>
      <w:r>
        <w:rPr>
          <w:rFonts w:ascii="Times New Roman" w:hAnsi="Times New Roman" w:eastAsia="Times New Roman"/>
          <w:position w:val="2"/>
          <w:vertAlign w:val="baseline"/>
        </w:rPr>
        <w:t>,Q</w:t>
      </w:r>
      <w:r>
        <w:rPr>
          <w:rFonts w:ascii="Times New Roman" w:hAnsi="Times New Roman" w:eastAsia="Times New Roman"/>
          <w:position w:val="2"/>
          <w:vertAlign w:val="subscript"/>
        </w:rPr>
        <w:t>n</w:t>
      </w:r>
      <w:r>
        <w:rPr>
          <w:rFonts w:ascii="Times New Roman" w:hAnsi="Times New Roman" w:eastAsia="Times New Roman"/>
          <w:position w:val="2"/>
          <w:vertAlign w:val="baseline"/>
        </w:rPr>
        <w:t xml:space="preserve"> </w:t>
      </w:r>
      <w:r>
        <w:rPr>
          <w:position w:val="2"/>
          <w:vertAlign w:val="baseline"/>
        </w:rPr>
        <w:t>—与各危险化学品相对应的临界量（单位：吨）； β</w:t>
      </w:r>
      <w:r>
        <w:rPr>
          <w:rFonts w:ascii="Times New Roman" w:hAnsi="Times New Roman" w:eastAsia="Times New Roman"/>
          <w:sz w:val="13"/>
          <w:vertAlign w:val="baseline"/>
        </w:rPr>
        <w:t>1</w:t>
      </w:r>
      <w:r>
        <w:rPr>
          <w:position w:val="2"/>
          <w:vertAlign w:val="baseline"/>
        </w:rPr>
        <w:t>，β</w:t>
      </w:r>
      <w:r>
        <w:rPr>
          <w:rFonts w:ascii="Times New Roman" w:hAnsi="Times New Roman" w:eastAsia="Times New Roman"/>
          <w:sz w:val="13"/>
          <w:vertAlign w:val="baseline"/>
        </w:rPr>
        <w:t>2</w:t>
      </w:r>
      <w:r>
        <w:rPr>
          <w:position w:val="2"/>
          <w:vertAlign w:val="baseline"/>
        </w:rPr>
        <w:t>…</w:t>
      </w:r>
      <w:r>
        <w:rPr>
          <w:rFonts w:ascii="Times New Roman" w:hAnsi="Times New Roman" w:eastAsia="Times New Roman"/>
          <w:position w:val="2"/>
          <w:vertAlign w:val="baseline"/>
        </w:rPr>
        <w:t>,</w:t>
      </w:r>
      <w:r>
        <w:rPr>
          <w:position w:val="2"/>
          <w:vertAlign w:val="baseline"/>
        </w:rPr>
        <w:t>β</w:t>
      </w:r>
      <w:r>
        <w:rPr>
          <w:rFonts w:ascii="Times New Roman" w:hAnsi="Times New Roman" w:eastAsia="Times New Roman"/>
          <w:sz w:val="13"/>
          <w:vertAlign w:val="baseline"/>
        </w:rPr>
        <w:t>n</w:t>
      </w:r>
      <w:r>
        <w:rPr>
          <w:position w:val="2"/>
          <w:vertAlign w:val="baseline"/>
        </w:rPr>
        <w:t>—与各危险化学品相对应的校正系数；</w:t>
      </w:r>
    </w:p>
    <w:p>
      <w:pPr>
        <w:pStyle w:val="3"/>
        <w:spacing w:before="6" w:line="278" w:lineRule="auto"/>
        <w:ind w:left="720" w:right="1205"/>
      </w:pPr>
      <w:r>
        <w:rPr>
          <w:w w:val="95"/>
        </w:rPr>
        <w:t xml:space="preserve">α—该危险化学品重大危险源厂区外暴露人员的校正系数。 </w:t>
      </w:r>
      <w:r>
        <w:t>三、校正系数</w:t>
      </w:r>
      <w:r>
        <w:rPr>
          <w:rFonts w:ascii="Times New Roman" w:hAnsi="Times New Roman" w:eastAsia="Times New Roman"/>
        </w:rPr>
        <w:t>β</w:t>
      </w:r>
      <w:r>
        <w:t>的取值</w:t>
      </w:r>
    </w:p>
    <w:p>
      <w:pPr>
        <w:pStyle w:val="3"/>
        <w:spacing w:line="269" w:lineRule="exact"/>
        <w:ind w:left="720"/>
      </w:pPr>
      <w:r>
        <w:t>根据单元内危险化学品的类别不同，设定校正系数β</w:t>
      </w:r>
      <w:r>
        <w:rPr>
          <w:spacing w:val="-12"/>
        </w:rPr>
        <w:t xml:space="preserve">值，见表 </w:t>
      </w:r>
      <w:r>
        <w:rPr>
          <w:rFonts w:ascii="Times New Roman" w:hAnsi="Times New Roman" w:eastAsia="Times New Roman"/>
        </w:rPr>
        <w:t xml:space="preserve">1 </w:t>
      </w:r>
      <w:r>
        <w:rPr>
          <w:spacing w:val="-19"/>
        </w:rPr>
        <w:t xml:space="preserve">和表 </w:t>
      </w:r>
      <w:r>
        <w:rPr>
          <w:rFonts w:ascii="Times New Roman" w:hAnsi="Times New Roman" w:eastAsia="Times New Roman"/>
        </w:rPr>
        <w:t>2</w:t>
      </w:r>
      <w:r>
        <w:t>：</w:t>
      </w:r>
    </w:p>
    <w:p>
      <w:pPr>
        <w:pStyle w:val="3"/>
        <w:spacing w:before="82"/>
        <w:ind w:left="3638"/>
      </w:pPr>
      <w:r>
        <w:t xml:space="preserve">表 </w:t>
      </w:r>
      <w:r>
        <w:rPr>
          <w:rFonts w:ascii="Times New Roman" w:hAnsi="Times New Roman" w:eastAsia="Times New Roman"/>
        </w:rPr>
        <w:t xml:space="preserve">1 </w:t>
      </w:r>
      <w:r>
        <w:t>校正系数</w:t>
      </w:r>
      <w:r>
        <w:rPr>
          <w:rFonts w:ascii="Times New Roman" w:hAnsi="Times New Roman" w:eastAsia="Times New Roman"/>
        </w:rPr>
        <w:t>β</w:t>
      </w:r>
      <w:r>
        <w:t>取值表</w:t>
      </w:r>
    </w:p>
    <w:p>
      <w:pPr>
        <w:pStyle w:val="3"/>
        <w:spacing w:before="91" w:line="213" w:lineRule="exact"/>
        <w:ind w:left="489"/>
      </w:pPr>
      <w:r>
        <mc:AlternateContent>
          <mc:Choice Requires="wps">
            <w:drawing>
              <wp:anchor distT="0" distB="0" distL="114300" distR="114300" simplePos="0" relativeHeight="251666432" behindDoc="0" locked="0" layoutInCell="1" allowOverlap="1">
                <wp:simplePos x="0" y="0"/>
                <wp:positionH relativeFrom="page">
                  <wp:posOffset>1042035</wp:posOffset>
                </wp:positionH>
                <wp:positionV relativeFrom="paragraph">
                  <wp:posOffset>41275</wp:posOffset>
                </wp:positionV>
                <wp:extent cx="5474970" cy="0"/>
                <wp:effectExtent l="0" t="0" r="0" b="0"/>
                <wp:wrapNone/>
                <wp:docPr id="7" name="直线 8"/>
                <wp:cNvGraphicFramePr/>
                <a:graphic xmlns:a="http://schemas.openxmlformats.org/drawingml/2006/main">
                  <a:graphicData uri="http://schemas.microsoft.com/office/word/2010/wordprocessingShape">
                    <wps:wsp>
                      <wps:cNvCnPr/>
                      <wps:spPr>
                        <a:xfrm>
                          <a:off x="0" y="0"/>
                          <a:ext cx="54749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82.05pt;margin-top:3.25pt;height:0pt;width:431.1pt;mso-position-horizontal-relative:page;z-index:251666432;mso-width-relative:page;mso-height-relative:page;" filled="f" stroked="t" coordsize="21600,21600" o:gfxdata="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3KqM&#10;1wAAAAgBAAAPAAAAAAAAAAEAIAAAACIAAABkcnMvZG93bnJldi54bWxQSwECFAAUAAAACACHTuJA&#10;JbPIL+kBAADbAwAADgAAAAAAAAABACAAAAAmAQAAZHJzL2Uyb0RvYy54bWxQSwUGAAAAAAYABgBZ&#10;AQAAgQUAAAAA&#10;">
                <v:fill on="f" focussize="0,0"/>
                <v:stroke weight="0.48pt" color="#000000" joinstyle="round"/>
                <v:imagedata o:title=""/>
                <o:lock v:ext="edit" aspectratio="f"/>
              </v:line>
            </w:pict>
          </mc:Fallback>
        </mc:AlternateContent>
      </w:r>
      <w:r>
        <w:t>危险化学品</w:t>
      </w:r>
    </w:p>
    <w:p>
      <w:pPr>
        <w:pStyle w:val="3"/>
        <w:tabs>
          <w:tab w:val="left" w:pos="4151"/>
          <w:tab w:val="left" w:pos="5764"/>
        </w:tabs>
        <w:spacing w:line="130" w:lineRule="exact"/>
        <w:ind w:left="2328"/>
      </w:pPr>
      <w:r>
        <w:t>毒性气体</w:t>
      </w:r>
      <w:r>
        <w:tab/>
      </w:r>
      <w:r>
        <w:t>爆炸品</w:t>
      </w:r>
      <w:r>
        <w:tab/>
      </w:r>
      <w:r>
        <w:t>易燃气体</w:t>
      </w:r>
    </w:p>
    <w:p>
      <w:pPr>
        <w:pStyle w:val="3"/>
        <w:ind w:left="0"/>
        <w:rPr>
          <w:sz w:val="20"/>
        </w:rPr>
      </w:pPr>
      <w:r>
        <w:br w:type="column"/>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7"/>
        <w:ind w:left="0"/>
        <w:rPr>
          <w:sz w:val="20"/>
        </w:rPr>
      </w:pPr>
    </w:p>
    <w:p>
      <w:pPr>
        <w:pStyle w:val="3"/>
        <w:ind w:left="163"/>
      </w:pPr>
      <w:r>
        <w:t>其他类</w:t>
      </w:r>
    </w:p>
    <w:p>
      <w:pPr>
        <w:spacing w:after="0"/>
        <w:sectPr>
          <w:type w:val="continuous"/>
          <w:pgSz w:w="11910" w:h="16840"/>
          <w:pgMar w:top="1380" w:right="1500" w:bottom="1180" w:left="1500" w:header="720" w:footer="720" w:gutter="0"/>
          <w:cols w:equalWidth="0" w:num="2">
            <w:col w:w="7386" w:space="40"/>
            <w:col w:w="1484"/>
          </w:cols>
        </w:sectPr>
      </w:pPr>
    </w:p>
    <w:p>
      <w:pPr>
        <w:pStyle w:val="3"/>
        <w:tabs>
          <w:tab w:val="left" w:pos="7379"/>
        </w:tabs>
        <w:spacing w:line="238" w:lineRule="exact"/>
        <w:ind w:left="804"/>
      </w:pPr>
      <w:r>
        <w:t>类别</w:t>
      </w:r>
      <w:r>
        <w:tab/>
      </w:r>
      <w:r>
        <w:t>危险化学品</w:t>
      </w:r>
    </w:p>
    <w:p>
      <w:pPr>
        <w:pStyle w:val="3"/>
        <w:tabs>
          <w:tab w:val="left" w:pos="2459"/>
          <w:tab w:val="left" w:pos="4413"/>
          <w:tab w:val="left" w:pos="6052"/>
          <w:tab w:val="right" w:pos="7957"/>
        </w:tabs>
        <w:spacing w:before="86"/>
        <w:ind w:left="962"/>
        <w:rPr>
          <w:rFonts w:ascii="Times New Roman" w:hAnsi="Times New Roman" w:eastAsia="Times New Roman"/>
        </w:rPr>
      </w:pPr>
      <w:r>
        <mc:AlternateContent>
          <mc:Choice Requires="wps">
            <w:drawing>
              <wp:anchor distT="0" distB="0" distL="114300" distR="114300" simplePos="0" relativeHeight="251664384" behindDoc="1" locked="0" layoutInCell="1" allowOverlap="1">
                <wp:simplePos x="0" y="0"/>
                <wp:positionH relativeFrom="page">
                  <wp:posOffset>1042035</wp:posOffset>
                </wp:positionH>
                <wp:positionV relativeFrom="paragraph">
                  <wp:posOffset>269240</wp:posOffset>
                </wp:positionV>
                <wp:extent cx="5474970" cy="0"/>
                <wp:effectExtent l="0" t="0" r="0" b="0"/>
                <wp:wrapTopAndBottom/>
                <wp:docPr id="8" name="直线 9"/>
                <wp:cNvGraphicFramePr/>
                <a:graphic xmlns:a="http://schemas.openxmlformats.org/drawingml/2006/main">
                  <a:graphicData uri="http://schemas.microsoft.com/office/word/2010/wordprocessingShape">
                    <wps:wsp>
                      <wps:cNvCnPr/>
                      <wps:spPr>
                        <a:xfrm>
                          <a:off x="0" y="0"/>
                          <a:ext cx="54749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82.05pt;margin-top:21.2pt;height:0pt;width:431.1pt;mso-position-horizontal-relative:page;mso-wrap-distance-bottom:0pt;mso-wrap-distance-top:0pt;z-index:-251652096;mso-width-relative:page;mso-height-relative:page;" filled="f" stroked="t" coordsize="21600,21600" o:gfxdata="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N1/&#10;xdgAAAAKAQAADwAAAAAAAAABACAAAAAiAAAAZHJzL2Rvd25yZXYueG1sUEsBAhQAFAAAAAgAh07i&#10;QGXy8OrpAQAA2wMAAA4AAAAAAAAAAQAgAAAAJwEAAGRycy9lMm9Eb2MueG1sUEsFBgAAAAAGAAYA&#10;WQEAAIIFAAAAAA==&#10;">
                <v:fill on="f" focussize="0,0"/>
                <v:stroke weight="0.48pt" color="#000000" joinstyle="round"/>
                <v:imagedata o:title=""/>
                <o:lock v:ext="edit" aspectratio="f"/>
                <w10:wrap type="topAndBottom"/>
              </v:line>
            </w:pict>
          </mc:Fallback>
        </mc:AlternateContent>
      </w:r>
      <w:r>
        <w:rPr>
          <w:rFonts w:ascii="Times New Roman" w:hAnsi="Times New Roman" w:eastAsia="Times New Roman"/>
        </w:rPr>
        <w:t>β</w:t>
      </w:r>
      <w:r>
        <w:rPr>
          <w:rFonts w:ascii="Times New Roman" w:hAnsi="Times New Roman" w:eastAsia="Times New Roman"/>
        </w:rPr>
        <w:tab/>
      </w:r>
      <w:r>
        <w:t>见表</w:t>
      </w:r>
      <w:r>
        <w:rPr>
          <w:spacing w:val="-54"/>
        </w:rPr>
        <w:t xml:space="preserve"> </w:t>
      </w:r>
      <w:r>
        <w:rPr>
          <w:rFonts w:ascii="Times New Roman" w:hAnsi="Times New Roman" w:eastAsia="Times New Roman"/>
        </w:rPr>
        <w:t>2</w:t>
      </w:r>
      <w:r>
        <w:rPr>
          <w:rFonts w:ascii="Times New Roman" w:hAnsi="Times New Roman" w:eastAsia="Times New Roman"/>
        </w:rPr>
        <w:tab/>
      </w:r>
      <w:r>
        <w:rPr>
          <w:rFonts w:ascii="Times New Roman" w:hAnsi="Times New Roman" w:eastAsia="Times New Roman"/>
        </w:rPr>
        <w:t>2</w:t>
      </w:r>
      <w:r>
        <w:rPr>
          <w:rFonts w:ascii="Times New Roman" w:hAnsi="Times New Roman" w:eastAsia="Times New Roman"/>
        </w:rPr>
        <w:tab/>
      </w:r>
      <w:r>
        <w:rPr>
          <w:rFonts w:ascii="Times New Roman" w:hAnsi="Times New Roman" w:eastAsia="Times New Roman"/>
        </w:rPr>
        <w:t>1.5</w:t>
      </w:r>
      <w:r>
        <w:rPr>
          <w:rFonts w:ascii="Times New Roman" w:hAnsi="Times New Roman" w:eastAsia="Times New Roman"/>
        </w:rPr>
        <w:tab/>
      </w:r>
      <w:r>
        <w:rPr>
          <w:rFonts w:ascii="Times New Roman" w:hAnsi="Times New Roman" w:eastAsia="Times New Roman"/>
        </w:rPr>
        <w:t>1</w:t>
      </w:r>
    </w:p>
    <w:p>
      <w:pPr>
        <w:pStyle w:val="3"/>
        <w:ind w:left="720"/>
      </w:pPr>
      <w:r>
        <w:t>注：危险化学品类别依据《危险货物品名表》中分类标准确定。</w:t>
      </w:r>
    </w:p>
    <w:p>
      <w:pPr>
        <w:pStyle w:val="3"/>
        <w:spacing w:before="9"/>
        <w:ind w:left="0"/>
        <w:rPr>
          <w:sz w:val="27"/>
        </w:rPr>
      </w:pPr>
    </w:p>
    <w:p>
      <w:pPr>
        <w:pStyle w:val="3"/>
        <w:spacing w:after="22"/>
        <w:ind w:left="418"/>
        <w:jc w:val="center"/>
      </w:pPr>
      <w:r>
        <w:t xml:space="preserve">表 </w:t>
      </w:r>
      <w:r>
        <w:rPr>
          <w:rFonts w:ascii="Times New Roman" w:hAnsi="Times New Roman" w:eastAsia="Times New Roman"/>
        </w:rPr>
        <w:t xml:space="preserve">2 </w:t>
      </w:r>
      <w:r>
        <w:t>常见毒性气体校正系数</w:t>
      </w:r>
      <w:r>
        <w:rPr>
          <w:rFonts w:ascii="Times New Roman" w:hAnsi="Times New Roman" w:eastAsia="Times New Roman"/>
        </w:rPr>
        <w:t>β</w:t>
      </w:r>
      <w:r>
        <w:t>值取值表</w:t>
      </w:r>
    </w:p>
    <w:p>
      <w:pPr>
        <w:pStyle w:val="3"/>
        <w:spacing w:line="20" w:lineRule="exact"/>
        <w:ind w:left="137"/>
        <w:rPr>
          <w:sz w:val="2"/>
        </w:rPr>
      </w:pPr>
      <w:r>
        <w:rPr>
          <w:sz w:val="2"/>
        </w:rPr>
        <mc:AlternateContent>
          <mc:Choice Requires="wpg">
            <w:drawing>
              <wp:inline distT="0" distB="0" distL="114300" distR="114300">
                <wp:extent cx="5474970" cy="6350"/>
                <wp:effectExtent l="0" t="0" r="0" b="0"/>
                <wp:docPr id="10" name="组合 10"/>
                <wp:cNvGraphicFramePr/>
                <a:graphic xmlns:a="http://schemas.openxmlformats.org/drawingml/2006/main">
                  <a:graphicData uri="http://schemas.microsoft.com/office/word/2010/wordprocessingGroup">
                    <wpg:wgp>
                      <wpg:cNvGrpSpPr/>
                      <wpg:grpSpPr>
                        <a:xfrm>
                          <a:off x="0" y="0"/>
                          <a:ext cx="5474970" cy="6350"/>
                          <a:chOff x="0" y="0"/>
                          <a:chExt cx="8622" cy="10"/>
                        </a:xfrm>
                      </wpg:grpSpPr>
                      <wps:wsp>
                        <wps:cNvPr id="9" name="直线 11"/>
                        <wps:cNvCnPr/>
                        <wps:spPr>
                          <a:xfrm>
                            <a:off x="0" y="5"/>
                            <a:ext cx="8622"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31.1pt;" coordsize="8622,10" o:gfxdata="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SS5uDUAAAAAwEAAA8AAAAAAAAA&#10;AQAgAAAAIgAAAGRycy9kb3ducmV2LnhtbFBLAQIUABQAAAAIAIdO4kAwlwgTTgIAAAEFAAAOAAAA&#10;AAAAAAEAIAAAACMBAABkcnMvZTJvRG9jLnhtbFBLBQYAAAAABgAGAFkBAADjBQAAAAA=&#10;">
                <o:lock v:ext="edit" aspectratio="f"/>
                <v:line id="直线 11" o:spid="_x0000_s1026" o:spt="20" style="position:absolute;left:0;top:5;height:0;width:862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none"/>
                <w10:anchorlock/>
              </v:group>
            </w:pict>
          </mc:Fallback>
        </mc:AlternateContent>
      </w:r>
    </w:p>
    <w:p>
      <w:pPr>
        <w:pStyle w:val="3"/>
        <w:spacing w:before="2"/>
        <w:ind w:left="0"/>
        <w:rPr>
          <w:sz w:val="3"/>
        </w:rPr>
      </w:pPr>
    </w:p>
    <w:tbl>
      <w:tblPr>
        <w:tblStyle w:val="4"/>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4"/>
        <w:gridCol w:w="1173"/>
        <w:gridCol w:w="1034"/>
        <w:gridCol w:w="1033"/>
        <w:gridCol w:w="1086"/>
        <w:gridCol w:w="983"/>
        <w:gridCol w:w="981"/>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1244" w:type="dxa"/>
          </w:tcPr>
          <w:p>
            <w:pPr>
              <w:pStyle w:val="6"/>
              <w:spacing w:line="239" w:lineRule="exact"/>
              <w:ind w:left="147" w:right="7"/>
              <w:jc w:val="center"/>
              <w:rPr>
                <w:sz w:val="21"/>
              </w:rPr>
            </w:pPr>
            <w:r>
              <w:rPr>
                <w:sz w:val="21"/>
              </w:rPr>
              <w:t>毒性气体名</w:t>
            </w:r>
          </w:p>
          <w:p>
            <w:pPr>
              <w:pStyle w:val="6"/>
              <w:spacing w:before="43"/>
              <w:ind w:left="140"/>
              <w:jc w:val="center"/>
              <w:rPr>
                <w:sz w:val="21"/>
              </w:rPr>
            </w:pPr>
            <w:r>
              <w:rPr>
                <w:w w:val="99"/>
                <w:sz w:val="21"/>
              </w:rPr>
              <w:t>称</w:t>
            </w:r>
          </w:p>
        </w:tc>
        <w:tc>
          <w:tcPr>
            <w:tcW w:w="1173" w:type="dxa"/>
          </w:tcPr>
          <w:p>
            <w:pPr>
              <w:pStyle w:val="6"/>
              <w:spacing w:line="239" w:lineRule="exact"/>
              <w:ind w:left="447"/>
              <w:rPr>
                <w:sz w:val="21"/>
              </w:rPr>
            </w:pPr>
            <w:r>
              <w:rPr>
                <w:spacing w:val="-1"/>
                <w:w w:val="95"/>
                <w:sz w:val="21"/>
              </w:rPr>
              <w:t>一氧</w:t>
            </w:r>
          </w:p>
          <w:p>
            <w:pPr>
              <w:pStyle w:val="6"/>
              <w:spacing w:before="43"/>
              <w:ind w:left="447"/>
              <w:rPr>
                <w:sz w:val="21"/>
              </w:rPr>
            </w:pPr>
            <w:r>
              <w:rPr>
                <w:spacing w:val="-1"/>
                <w:w w:val="95"/>
                <w:sz w:val="21"/>
              </w:rPr>
              <w:t>化碳</w:t>
            </w:r>
          </w:p>
        </w:tc>
        <w:tc>
          <w:tcPr>
            <w:tcW w:w="1034" w:type="dxa"/>
          </w:tcPr>
          <w:p>
            <w:pPr>
              <w:pStyle w:val="6"/>
              <w:spacing w:line="239" w:lineRule="exact"/>
              <w:ind w:left="308"/>
              <w:rPr>
                <w:sz w:val="21"/>
              </w:rPr>
            </w:pPr>
            <w:r>
              <w:rPr>
                <w:spacing w:val="-1"/>
                <w:w w:val="95"/>
                <w:sz w:val="21"/>
              </w:rPr>
              <w:t>二氧</w:t>
            </w:r>
          </w:p>
          <w:p>
            <w:pPr>
              <w:pStyle w:val="6"/>
              <w:spacing w:before="43"/>
              <w:ind w:left="308"/>
              <w:rPr>
                <w:sz w:val="21"/>
              </w:rPr>
            </w:pPr>
            <w:r>
              <w:rPr>
                <w:spacing w:val="-1"/>
                <w:w w:val="95"/>
                <w:sz w:val="21"/>
              </w:rPr>
              <w:t>化硫</w:t>
            </w:r>
          </w:p>
        </w:tc>
        <w:tc>
          <w:tcPr>
            <w:tcW w:w="1033" w:type="dxa"/>
          </w:tcPr>
          <w:p>
            <w:pPr>
              <w:pStyle w:val="6"/>
              <w:spacing w:before="125"/>
              <w:ind w:left="6"/>
              <w:jc w:val="center"/>
              <w:rPr>
                <w:sz w:val="21"/>
              </w:rPr>
            </w:pPr>
            <w:r>
              <w:rPr>
                <w:w w:val="99"/>
                <w:sz w:val="21"/>
              </w:rPr>
              <w:t>氨</w:t>
            </w:r>
          </w:p>
        </w:tc>
        <w:tc>
          <w:tcPr>
            <w:tcW w:w="1086" w:type="dxa"/>
          </w:tcPr>
          <w:p>
            <w:pPr>
              <w:pStyle w:val="6"/>
              <w:spacing w:line="239" w:lineRule="exact"/>
              <w:ind w:left="308"/>
              <w:rPr>
                <w:sz w:val="21"/>
              </w:rPr>
            </w:pPr>
            <w:r>
              <w:rPr>
                <w:spacing w:val="-1"/>
                <w:w w:val="95"/>
                <w:sz w:val="21"/>
              </w:rPr>
              <w:t>环氧</w:t>
            </w:r>
          </w:p>
          <w:p>
            <w:pPr>
              <w:pStyle w:val="6"/>
              <w:spacing w:before="43"/>
              <w:ind w:left="308"/>
              <w:rPr>
                <w:sz w:val="21"/>
              </w:rPr>
            </w:pPr>
            <w:r>
              <w:rPr>
                <w:spacing w:val="-1"/>
                <w:w w:val="95"/>
                <w:sz w:val="21"/>
              </w:rPr>
              <w:t>乙烷</w:t>
            </w:r>
          </w:p>
        </w:tc>
        <w:tc>
          <w:tcPr>
            <w:tcW w:w="983" w:type="dxa"/>
          </w:tcPr>
          <w:p>
            <w:pPr>
              <w:pStyle w:val="6"/>
              <w:spacing w:before="125"/>
              <w:ind w:left="132" w:right="181"/>
              <w:jc w:val="center"/>
              <w:rPr>
                <w:sz w:val="21"/>
              </w:rPr>
            </w:pPr>
            <w:r>
              <w:rPr>
                <w:sz w:val="21"/>
              </w:rPr>
              <w:t>氯化氢</w:t>
            </w:r>
          </w:p>
        </w:tc>
        <w:tc>
          <w:tcPr>
            <w:tcW w:w="981" w:type="dxa"/>
          </w:tcPr>
          <w:p>
            <w:pPr>
              <w:pStyle w:val="6"/>
              <w:spacing w:before="125"/>
              <w:ind w:left="182" w:right="129"/>
              <w:jc w:val="center"/>
              <w:rPr>
                <w:sz w:val="21"/>
              </w:rPr>
            </w:pPr>
            <w:r>
              <w:rPr>
                <w:sz w:val="21"/>
              </w:rPr>
              <w:t>溴甲烷</w:t>
            </w:r>
          </w:p>
        </w:tc>
        <w:tc>
          <w:tcPr>
            <w:tcW w:w="1085" w:type="dxa"/>
          </w:tcPr>
          <w:p>
            <w:pPr>
              <w:pStyle w:val="6"/>
              <w:spacing w:before="125"/>
              <w:ind w:left="53"/>
              <w:jc w:val="center"/>
              <w:rPr>
                <w:sz w:val="21"/>
              </w:rPr>
            </w:pPr>
            <w:r>
              <w:rPr>
                <w:w w:val="99"/>
                <w:sz w:val="21"/>
              </w:rPr>
              <w:t>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244" w:type="dxa"/>
          </w:tcPr>
          <w:p>
            <w:pPr>
              <w:pStyle w:val="6"/>
              <w:spacing w:before="60" w:line="221" w:lineRule="exact"/>
              <w:ind w:right="495"/>
              <w:jc w:val="right"/>
              <w:rPr>
                <w:rFonts w:ascii="Times New Roman" w:hAnsi="Times New Roman"/>
                <w:sz w:val="21"/>
              </w:rPr>
            </w:pPr>
            <w:r>
              <w:rPr>
                <w:rFonts w:ascii="Times New Roman" w:hAnsi="Times New Roman"/>
                <w:w w:val="99"/>
                <w:sz w:val="21"/>
              </w:rPr>
              <w:t>β</w:t>
            </w:r>
          </w:p>
        </w:tc>
        <w:tc>
          <w:tcPr>
            <w:tcW w:w="1173" w:type="dxa"/>
          </w:tcPr>
          <w:p>
            <w:pPr>
              <w:pStyle w:val="6"/>
              <w:spacing w:before="60" w:line="221" w:lineRule="exact"/>
              <w:ind w:right="460"/>
              <w:jc w:val="right"/>
              <w:rPr>
                <w:rFonts w:ascii="Times New Roman"/>
                <w:sz w:val="21"/>
              </w:rPr>
            </w:pPr>
            <w:r>
              <w:rPr>
                <w:rFonts w:ascii="Times New Roman"/>
                <w:w w:val="99"/>
                <w:sz w:val="21"/>
              </w:rPr>
              <w:t>2</w:t>
            </w:r>
          </w:p>
        </w:tc>
        <w:tc>
          <w:tcPr>
            <w:tcW w:w="1034" w:type="dxa"/>
          </w:tcPr>
          <w:p>
            <w:pPr>
              <w:pStyle w:val="6"/>
              <w:spacing w:before="60" w:line="221" w:lineRule="exact"/>
              <w:jc w:val="center"/>
              <w:rPr>
                <w:rFonts w:ascii="Times New Roman"/>
                <w:sz w:val="21"/>
              </w:rPr>
            </w:pPr>
            <w:r>
              <w:rPr>
                <w:rFonts w:ascii="Times New Roman"/>
                <w:w w:val="99"/>
                <w:sz w:val="21"/>
              </w:rPr>
              <w:t>2</w:t>
            </w:r>
          </w:p>
        </w:tc>
        <w:tc>
          <w:tcPr>
            <w:tcW w:w="1033" w:type="dxa"/>
          </w:tcPr>
          <w:p>
            <w:pPr>
              <w:pStyle w:val="6"/>
              <w:spacing w:before="60" w:line="221" w:lineRule="exact"/>
              <w:ind w:left="2"/>
              <w:jc w:val="center"/>
              <w:rPr>
                <w:rFonts w:ascii="Times New Roman"/>
                <w:sz w:val="21"/>
              </w:rPr>
            </w:pPr>
            <w:r>
              <w:rPr>
                <w:rFonts w:ascii="Times New Roman"/>
                <w:w w:val="99"/>
                <w:sz w:val="21"/>
              </w:rPr>
              <w:t>2</w:t>
            </w:r>
          </w:p>
        </w:tc>
        <w:tc>
          <w:tcPr>
            <w:tcW w:w="1086" w:type="dxa"/>
          </w:tcPr>
          <w:p>
            <w:pPr>
              <w:pStyle w:val="6"/>
              <w:spacing w:before="60" w:line="221" w:lineRule="exact"/>
              <w:ind w:left="466"/>
              <w:rPr>
                <w:rFonts w:ascii="Times New Roman"/>
                <w:sz w:val="21"/>
              </w:rPr>
            </w:pPr>
            <w:r>
              <w:rPr>
                <w:rFonts w:ascii="Times New Roman"/>
                <w:w w:val="99"/>
                <w:sz w:val="21"/>
              </w:rPr>
              <w:t>2</w:t>
            </w:r>
          </w:p>
        </w:tc>
        <w:tc>
          <w:tcPr>
            <w:tcW w:w="983" w:type="dxa"/>
          </w:tcPr>
          <w:p>
            <w:pPr>
              <w:pStyle w:val="6"/>
              <w:spacing w:before="60" w:line="221" w:lineRule="exact"/>
              <w:ind w:right="50"/>
              <w:jc w:val="center"/>
              <w:rPr>
                <w:rFonts w:ascii="Times New Roman"/>
                <w:sz w:val="21"/>
              </w:rPr>
            </w:pPr>
            <w:r>
              <w:rPr>
                <w:rFonts w:ascii="Times New Roman"/>
                <w:w w:val="99"/>
                <w:sz w:val="21"/>
              </w:rPr>
              <w:t>3</w:t>
            </w:r>
          </w:p>
        </w:tc>
        <w:tc>
          <w:tcPr>
            <w:tcW w:w="981" w:type="dxa"/>
          </w:tcPr>
          <w:p>
            <w:pPr>
              <w:pStyle w:val="6"/>
              <w:spacing w:before="60" w:line="221" w:lineRule="exact"/>
              <w:ind w:left="51"/>
              <w:jc w:val="center"/>
              <w:rPr>
                <w:rFonts w:ascii="Times New Roman"/>
                <w:sz w:val="21"/>
              </w:rPr>
            </w:pPr>
            <w:r>
              <w:rPr>
                <w:rFonts w:ascii="Times New Roman"/>
                <w:w w:val="99"/>
                <w:sz w:val="21"/>
              </w:rPr>
              <w:t>3</w:t>
            </w:r>
          </w:p>
        </w:tc>
        <w:tc>
          <w:tcPr>
            <w:tcW w:w="1085" w:type="dxa"/>
          </w:tcPr>
          <w:p>
            <w:pPr>
              <w:pStyle w:val="6"/>
              <w:spacing w:before="60" w:line="221" w:lineRule="exact"/>
              <w:ind w:left="54"/>
              <w:jc w:val="center"/>
              <w:rPr>
                <w:rFonts w:ascii="Times New Roman"/>
                <w:sz w:val="21"/>
              </w:rPr>
            </w:pPr>
            <w:r>
              <w:rPr>
                <w:rFonts w:ascii="Times New Roman"/>
                <w:w w:val="99"/>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8619" w:type="dxa"/>
            <w:gridSpan w:val="8"/>
          </w:tcPr>
          <w:p>
            <w:pPr>
              <w:pStyle w:val="6"/>
              <w:tabs>
                <w:tab w:val="left" w:pos="3592"/>
                <w:tab w:val="left" w:pos="7622"/>
              </w:tabs>
              <w:spacing w:before="100" w:line="213" w:lineRule="exact"/>
              <w:ind w:right="30"/>
              <w:jc w:val="center"/>
              <w:rPr>
                <w:sz w:val="21"/>
              </w:rPr>
            </w:pPr>
            <w:r>
              <w:rPr>
                <w:sz w:val="21"/>
              </w:rPr>
              <w:t>毒性气体名</w:t>
            </w:r>
            <w:r>
              <w:rPr>
                <w:sz w:val="21"/>
              </w:rPr>
              <w:tab/>
            </w:r>
            <w:r>
              <w:rPr>
                <w:sz w:val="21"/>
              </w:rPr>
              <w:t>二氧</w:t>
            </w:r>
            <w:r>
              <w:rPr>
                <w:sz w:val="21"/>
              </w:rPr>
              <w:tab/>
            </w:r>
            <w:r>
              <w:rPr>
                <w:sz w:val="21"/>
              </w:rPr>
              <w:t>异氰酸</w:t>
            </w:r>
          </w:p>
          <w:p>
            <w:pPr>
              <w:pStyle w:val="6"/>
              <w:tabs>
                <w:tab w:val="left" w:pos="1385"/>
                <w:tab w:val="left" w:pos="3452"/>
                <w:tab w:val="left" w:pos="4486"/>
                <w:tab w:val="left" w:pos="5521"/>
              </w:tabs>
              <w:spacing w:line="136" w:lineRule="exact"/>
              <w:ind w:left="351"/>
              <w:jc w:val="center"/>
              <w:rPr>
                <w:sz w:val="21"/>
              </w:rPr>
            </w:pPr>
            <w:r>
              <w:rPr>
                <w:sz w:val="21"/>
              </w:rPr>
              <w:t>硫化氢</w:t>
            </w:r>
            <w:r>
              <w:rPr>
                <w:sz w:val="21"/>
              </w:rPr>
              <w:tab/>
            </w:r>
            <w:r>
              <w:rPr>
                <w:sz w:val="21"/>
              </w:rPr>
              <w:t>氟化氢</w:t>
            </w:r>
            <w:r>
              <w:rPr>
                <w:sz w:val="21"/>
              </w:rPr>
              <w:tab/>
            </w:r>
            <w:r>
              <w:rPr>
                <w:sz w:val="21"/>
              </w:rPr>
              <w:t>氰化氢</w:t>
            </w:r>
            <w:r>
              <w:rPr>
                <w:sz w:val="21"/>
              </w:rPr>
              <w:tab/>
            </w:r>
            <w:r>
              <w:rPr>
                <w:sz w:val="21"/>
              </w:rPr>
              <w:t>碳酰氯</w:t>
            </w:r>
            <w:r>
              <w:rPr>
                <w:sz w:val="21"/>
              </w:rPr>
              <w:tab/>
            </w:r>
            <w:r>
              <w:rPr>
                <w:sz w:val="21"/>
              </w:rPr>
              <w:t>磷化氢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1244" w:type="dxa"/>
          </w:tcPr>
          <w:p>
            <w:pPr>
              <w:pStyle w:val="6"/>
              <w:spacing w:line="212" w:lineRule="exact"/>
              <w:ind w:right="445"/>
              <w:jc w:val="right"/>
              <w:rPr>
                <w:sz w:val="21"/>
              </w:rPr>
            </w:pPr>
            <w:r>
              <w:rPr>
                <w:w w:val="99"/>
                <w:sz w:val="21"/>
              </w:rPr>
              <w:t>称</w:t>
            </w:r>
          </w:p>
        </w:tc>
        <w:tc>
          <w:tcPr>
            <w:tcW w:w="1173" w:type="dxa"/>
          </w:tcPr>
          <w:p>
            <w:pPr>
              <w:pStyle w:val="6"/>
              <w:rPr>
                <w:rFonts w:ascii="Times New Roman"/>
                <w:sz w:val="18"/>
              </w:rPr>
            </w:pPr>
          </w:p>
        </w:tc>
        <w:tc>
          <w:tcPr>
            <w:tcW w:w="1034" w:type="dxa"/>
          </w:tcPr>
          <w:p>
            <w:pPr>
              <w:pStyle w:val="6"/>
              <w:rPr>
                <w:rFonts w:ascii="Times New Roman"/>
                <w:sz w:val="18"/>
              </w:rPr>
            </w:pPr>
          </w:p>
        </w:tc>
        <w:tc>
          <w:tcPr>
            <w:tcW w:w="1033" w:type="dxa"/>
          </w:tcPr>
          <w:p>
            <w:pPr>
              <w:pStyle w:val="6"/>
              <w:spacing w:line="212" w:lineRule="exact"/>
              <w:ind w:left="288" w:right="285"/>
              <w:jc w:val="center"/>
              <w:rPr>
                <w:sz w:val="21"/>
              </w:rPr>
            </w:pPr>
            <w:r>
              <w:rPr>
                <w:sz w:val="21"/>
              </w:rPr>
              <w:t>化氮</w:t>
            </w:r>
          </w:p>
        </w:tc>
        <w:tc>
          <w:tcPr>
            <w:tcW w:w="1086" w:type="dxa"/>
          </w:tcPr>
          <w:p>
            <w:pPr>
              <w:pStyle w:val="6"/>
              <w:rPr>
                <w:rFonts w:ascii="Times New Roman"/>
                <w:sz w:val="18"/>
              </w:rPr>
            </w:pPr>
          </w:p>
        </w:tc>
        <w:tc>
          <w:tcPr>
            <w:tcW w:w="983" w:type="dxa"/>
          </w:tcPr>
          <w:p>
            <w:pPr>
              <w:pStyle w:val="6"/>
              <w:rPr>
                <w:rFonts w:ascii="Times New Roman"/>
                <w:sz w:val="18"/>
              </w:rPr>
            </w:pPr>
          </w:p>
        </w:tc>
        <w:tc>
          <w:tcPr>
            <w:tcW w:w="981" w:type="dxa"/>
          </w:tcPr>
          <w:p>
            <w:pPr>
              <w:pStyle w:val="6"/>
              <w:rPr>
                <w:rFonts w:ascii="Times New Roman"/>
                <w:sz w:val="18"/>
              </w:rPr>
            </w:pPr>
          </w:p>
        </w:tc>
        <w:tc>
          <w:tcPr>
            <w:tcW w:w="1085" w:type="dxa"/>
          </w:tcPr>
          <w:p>
            <w:pPr>
              <w:pStyle w:val="6"/>
              <w:spacing w:line="212" w:lineRule="exact"/>
              <w:ind w:left="340" w:right="285"/>
              <w:jc w:val="center"/>
              <w:rPr>
                <w:sz w:val="21"/>
              </w:rPr>
            </w:pPr>
            <w:r>
              <w:rPr>
                <w:sz w:val="21"/>
              </w:rPr>
              <w:t>甲酯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1244" w:type="dxa"/>
            <w:tcBorders>
              <w:bottom w:val="single" w:color="000000" w:sz="4" w:space="0"/>
            </w:tcBorders>
          </w:tcPr>
          <w:p>
            <w:pPr>
              <w:pStyle w:val="6"/>
              <w:spacing w:before="58"/>
              <w:ind w:right="495"/>
              <w:jc w:val="right"/>
              <w:rPr>
                <w:rFonts w:ascii="Times New Roman" w:hAnsi="Times New Roman"/>
                <w:sz w:val="21"/>
              </w:rPr>
            </w:pPr>
            <w:r>
              <w:rPr>
                <w:rFonts w:ascii="Times New Roman" w:hAnsi="Times New Roman"/>
                <w:w w:val="99"/>
                <w:sz w:val="21"/>
              </w:rPr>
              <w:t>β</w:t>
            </w:r>
          </w:p>
        </w:tc>
        <w:tc>
          <w:tcPr>
            <w:tcW w:w="1173" w:type="dxa"/>
            <w:tcBorders>
              <w:bottom w:val="single" w:color="000000" w:sz="4" w:space="0"/>
            </w:tcBorders>
          </w:tcPr>
          <w:p>
            <w:pPr>
              <w:pStyle w:val="6"/>
              <w:spacing w:before="58"/>
              <w:ind w:right="460"/>
              <w:jc w:val="right"/>
              <w:rPr>
                <w:rFonts w:ascii="Times New Roman"/>
                <w:sz w:val="21"/>
              </w:rPr>
            </w:pPr>
            <w:r>
              <w:rPr>
                <w:rFonts w:ascii="Times New Roman"/>
                <w:w w:val="99"/>
                <w:sz w:val="21"/>
              </w:rPr>
              <w:t>5</w:t>
            </w:r>
          </w:p>
        </w:tc>
        <w:tc>
          <w:tcPr>
            <w:tcW w:w="1034" w:type="dxa"/>
            <w:tcBorders>
              <w:bottom w:val="single" w:color="000000" w:sz="4" w:space="0"/>
            </w:tcBorders>
          </w:tcPr>
          <w:p>
            <w:pPr>
              <w:pStyle w:val="6"/>
              <w:spacing w:before="58"/>
              <w:jc w:val="center"/>
              <w:rPr>
                <w:rFonts w:ascii="Times New Roman"/>
                <w:sz w:val="21"/>
              </w:rPr>
            </w:pPr>
            <w:r>
              <w:rPr>
                <w:rFonts w:ascii="Times New Roman"/>
                <w:w w:val="99"/>
                <w:sz w:val="21"/>
              </w:rPr>
              <w:t>5</w:t>
            </w:r>
          </w:p>
        </w:tc>
        <w:tc>
          <w:tcPr>
            <w:tcW w:w="1033" w:type="dxa"/>
            <w:tcBorders>
              <w:bottom w:val="single" w:color="000000" w:sz="4" w:space="0"/>
            </w:tcBorders>
          </w:tcPr>
          <w:p>
            <w:pPr>
              <w:pStyle w:val="6"/>
              <w:spacing w:before="58"/>
              <w:ind w:left="288" w:right="281"/>
              <w:jc w:val="center"/>
              <w:rPr>
                <w:rFonts w:ascii="Times New Roman"/>
                <w:sz w:val="21"/>
              </w:rPr>
            </w:pPr>
            <w:r>
              <w:rPr>
                <w:rFonts w:ascii="Times New Roman"/>
                <w:sz w:val="21"/>
              </w:rPr>
              <w:t>10</w:t>
            </w:r>
          </w:p>
        </w:tc>
        <w:tc>
          <w:tcPr>
            <w:tcW w:w="1086" w:type="dxa"/>
            <w:tcBorders>
              <w:bottom w:val="single" w:color="000000" w:sz="4" w:space="0"/>
            </w:tcBorders>
          </w:tcPr>
          <w:p>
            <w:pPr>
              <w:pStyle w:val="6"/>
              <w:spacing w:before="58"/>
              <w:ind w:left="413"/>
              <w:rPr>
                <w:rFonts w:ascii="Times New Roman"/>
                <w:sz w:val="21"/>
              </w:rPr>
            </w:pPr>
            <w:r>
              <w:rPr>
                <w:rFonts w:ascii="Times New Roman"/>
                <w:sz w:val="21"/>
              </w:rPr>
              <w:t>10</w:t>
            </w:r>
          </w:p>
        </w:tc>
        <w:tc>
          <w:tcPr>
            <w:tcW w:w="983" w:type="dxa"/>
            <w:tcBorders>
              <w:bottom w:val="single" w:color="000000" w:sz="4" w:space="0"/>
            </w:tcBorders>
          </w:tcPr>
          <w:p>
            <w:pPr>
              <w:pStyle w:val="6"/>
              <w:spacing w:before="58"/>
              <w:ind w:left="132" w:right="178"/>
              <w:jc w:val="center"/>
              <w:rPr>
                <w:rFonts w:ascii="Times New Roman"/>
                <w:sz w:val="21"/>
              </w:rPr>
            </w:pPr>
            <w:r>
              <w:rPr>
                <w:rFonts w:ascii="Times New Roman"/>
                <w:sz w:val="21"/>
              </w:rPr>
              <w:t>20</w:t>
            </w:r>
          </w:p>
        </w:tc>
        <w:tc>
          <w:tcPr>
            <w:tcW w:w="981" w:type="dxa"/>
            <w:tcBorders>
              <w:bottom w:val="single" w:color="000000" w:sz="4" w:space="0"/>
            </w:tcBorders>
          </w:tcPr>
          <w:p>
            <w:pPr>
              <w:pStyle w:val="6"/>
              <w:spacing w:before="58"/>
              <w:ind w:left="182" w:right="126"/>
              <w:jc w:val="center"/>
              <w:rPr>
                <w:rFonts w:ascii="Times New Roman"/>
                <w:sz w:val="21"/>
              </w:rPr>
            </w:pPr>
            <w:r>
              <w:rPr>
                <w:rFonts w:ascii="Times New Roman"/>
                <w:sz w:val="21"/>
              </w:rPr>
              <w:t>20</w:t>
            </w:r>
          </w:p>
        </w:tc>
        <w:tc>
          <w:tcPr>
            <w:tcW w:w="1085" w:type="dxa"/>
            <w:tcBorders>
              <w:bottom w:val="single" w:color="000000" w:sz="4" w:space="0"/>
            </w:tcBorders>
          </w:tcPr>
          <w:p>
            <w:pPr>
              <w:pStyle w:val="6"/>
              <w:spacing w:before="58"/>
              <w:ind w:left="339" w:right="285"/>
              <w:jc w:val="center"/>
              <w:rPr>
                <w:rFonts w:ascii="Times New Roman"/>
                <w:sz w:val="21"/>
              </w:rPr>
            </w:pPr>
            <w:r>
              <w:rPr>
                <w:rFonts w:ascii="Times New Roman"/>
                <w:sz w:val="21"/>
              </w:rPr>
              <w:t>20</w:t>
            </w:r>
          </w:p>
        </w:tc>
      </w:tr>
    </w:tbl>
    <w:p>
      <w:pPr>
        <w:pStyle w:val="3"/>
        <w:spacing w:before="16" w:line="278" w:lineRule="auto"/>
        <w:ind w:left="720" w:right="1475"/>
      </w:pPr>
      <w:r>
        <w:t xml:space="preserve">注：未在表 </w:t>
      </w:r>
      <w:r>
        <w:rPr>
          <w:rFonts w:ascii="Times New Roman" w:hAnsi="Times New Roman" w:eastAsia="Times New Roman"/>
        </w:rPr>
        <w:t xml:space="preserve">2 </w:t>
      </w:r>
      <w:r>
        <w:t>中列出的有毒气体可按</w:t>
      </w:r>
      <w:r>
        <w:rPr>
          <w:rFonts w:ascii="Times New Roman" w:hAnsi="Times New Roman" w:eastAsia="Times New Roman"/>
        </w:rPr>
        <w:t xml:space="preserve">β=2 </w:t>
      </w:r>
      <w:r>
        <w:t>取值，剧毒气体可按</w:t>
      </w:r>
      <w:r>
        <w:rPr>
          <w:rFonts w:ascii="Times New Roman" w:hAnsi="Times New Roman" w:eastAsia="Times New Roman"/>
        </w:rPr>
        <w:t xml:space="preserve">β=4 </w:t>
      </w:r>
      <w:r>
        <w:t>取值。四、校正系数</w:t>
      </w:r>
      <w:r>
        <w:rPr>
          <w:rFonts w:ascii="Times New Roman" w:hAnsi="Times New Roman" w:eastAsia="Times New Roman"/>
        </w:rPr>
        <w:t>α</w:t>
      </w:r>
      <w:r>
        <w:t>的取值</w:t>
      </w:r>
    </w:p>
    <w:p>
      <w:pPr>
        <w:pStyle w:val="3"/>
        <w:spacing w:line="278" w:lineRule="auto"/>
        <w:ind w:right="299" w:firstLine="420"/>
      </w:pPr>
      <w:r>
        <w:rPr>
          <w:spacing w:val="-4"/>
        </w:rPr>
        <w:t xml:space="preserve">根据重大危险源的厂区边界向外扩展 </w:t>
      </w:r>
      <w:r>
        <w:rPr>
          <w:rFonts w:ascii="Times New Roman" w:hAnsi="Times New Roman" w:eastAsia="Times New Roman"/>
        </w:rPr>
        <w:t xml:space="preserve">500 </w:t>
      </w:r>
      <w:r>
        <w:rPr>
          <w:spacing w:val="-9"/>
        </w:rPr>
        <w:t>米范围内常住人口数量，设定厂外暴露人员校正系数α</w:t>
      </w:r>
      <w:r>
        <w:rPr>
          <w:spacing w:val="-18"/>
        </w:rPr>
        <w:t xml:space="preserve">值，见表 </w:t>
      </w:r>
      <w:r>
        <w:rPr>
          <w:rFonts w:ascii="Times New Roman" w:hAnsi="Times New Roman" w:eastAsia="Times New Roman"/>
        </w:rPr>
        <w:t>3</w:t>
      </w:r>
      <w:r>
        <w:t>：</w:t>
      </w:r>
    </w:p>
    <w:p>
      <w:pPr>
        <w:pStyle w:val="3"/>
        <w:spacing w:after="22"/>
        <w:ind w:left="418"/>
        <w:jc w:val="center"/>
      </w:pPr>
      <w:r>
        <w:rPr>
          <w:spacing w:val="-26"/>
        </w:rPr>
        <w:t xml:space="preserve">表 </w:t>
      </w:r>
      <w:r>
        <w:rPr>
          <w:rFonts w:ascii="Times New Roman" w:hAnsi="Times New Roman" w:eastAsia="Times New Roman"/>
        </w:rPr>
        <w:t>3</w:t>
      </w:r>
      <w:r>
        <w:rPr>
          <w:rFonts w:ascii="Times New Roman" w:hAnsi="Times New Roman" w:eastAsia="Times New Roman"/>
          <w:spacing w:val="52"/>
        </w:rPr>
        <w:t xml:space="preserve"> </w:t>
      </w:r>
      <w:r>
        <w:t>校正系数</w:t>
      </w:r>
      <w:r>
        <w:rPr>
          <w:rFonts w:ascii="Times New Roman" w:hAnsi="Times New Roman" w:eastAsia="Times New Roman"/>
        </w:rPr>
        <w:t>α</w:t>
      </w:r>
      <w:r>
        <w:t>取值表</w:t>
      </w:r>
    </w:p>
    <w:p>
      <w:pPr>
        <w:pStyle w:val="3"/>
        <w:spacing w:line="20" w:lineRule="exact"/>
        <w:ind w:left="187"/>
        <w:rPr>
          <w:sz w:val="2"/>
        </w:rPr>
      </w:pPr>
      <w:r>
        <w:rPr>
          <w:sz w:val="2"/>
        </w:rPr>
        <mc:AlternateContent>
          <mc:Choice Requires="wpg">
            <w:drawing>
              <wp:inline distT="0" distB="0" distL="114300" distR="114300">
                <wp:extent cx="5411470" cy="6350"/>
                <wp:effectExtent l="0" t="0" r="0" b="0"/>
                <wp:docPr id="12" name="组合 12"/>
                <wp:cNvGraphicFramePr/>
                <a:graphic xmlns:a="http://schemas.openxmlformats.org/drawingml/2006/main">
                  <a:graphicData uri="http://schemas.microsoft.com/office/word/2010/wordprocessingGroup">
                    <wpg:wgp>
                      <wpg:cNvGrpSpPr/>
                      <wpg:grpSpPr>
                        <a:xfrm>
                          <a:off x="0" y="0"/>
                          <a:ext cx="5411470" cy="6350"/>
                          <a:chOff x="0" y="0"/>
                          <a:chExt cx="8522" cy="10"/>
                        </a:xfrm>
                      </wpg:grpSpPr>
                      <wps:wsp>
                        <wps:cNvPr id="11" name="直线 13"/>
                        <wps:cNvCnPr/>
                        <wps:spPr>
                          <a:xfrm>
                            <a:off x="0" y="5"/>
                            <a:ext cx="8522"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26.1pt;" coordsize="8522,10" o:gfxdata="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OVOOLUAAAAAwEAAA8AAAAAAAAA&#10;AQAgAAAAIgAAAGRycy9kb3ducmV2LnhtbFBLAQIUABQAAAAIAIdO4kBVERqsTgIAAAIFAAAOAAAA&#10;AAAAAAEAIAAAACMBAABkcnMvZTJvRG9jLnhtbFBLBQYAAAAABgAGAFkBAADjBQAAAAA=&#10;">
                <o:lock v:ext="edit" aspectratio="f"/>
                <v:line id="直线 13" o:spid="_x0000_s1026" o:spt="20" style="position:absolute;left:0;top:5;height:0;width:8522;"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3"/>
        <w:tabs>
          <w:tab w:val="left" w:pos="5255"/>
        </w:tabs>
        <w:spacing w:before="53"/>
        <w:ind w:left="0" w:right="994"/>
        <w:jc w:val="center"/>
        <w:rPr>
          <w:rFonts w:ascii="Times New Roman" w:hAnsi="Times New Roman" w:eastAsia="Times New Roman"/>
        </w:rPr>
      </w:pPr>
      <w:r>
        <w:t>厂外可能暴露人员数量</w:t>
      </w:r>
      <w:r>
        <w:tab/>
      </w:r>
      <w:r>
        <w:rPr>
          <w:rFonts w:ascii="Times New Roman" w:hAnsi="Times New Roman" w:eastAsia="Times New Roman"/>
        </w:rPr>
        <w:t>α</w:t>
      </w:r>
    </w:p>
    <w:p>
      <w:pPr>
        <w:pStyle w:val="3"/>
        <w:tabs>
          <w:tab w:val="left" w:pos="6453"/>
        </w:tabs>
        <w:spacing w:before="127"/>
        <w:ind w:left="1823"/>
        <w:rPr>
          <w:rFonts w:ascii="Times New Roman" w:eastAsia="Times New Roman"/>
        </w:rPr>
      </w:pPr>
      <w:r>
        <w:rPr>
          <w:rFonts w:ascii="Times New Roman" w:eastAsia="Times New Roman"/>
        </w:rPr>
        <w:t>100</w:t>
      </w:r>
      <w:r>
        <w:rPr>
          <w:rFonts w:ascii="Times New Roman" w:eastAsia="Times New Roman"/>
          <w:spacing w:val="-2"/>
        </w:rPr>
        <w:t xml:space="preserve"> </w:t>
      </w:r>
      <w:r>
        <w:t>人以上</w:t>
      </w:r>
      <w:r>
        <w:tab/>
      </w:r>
      <w:r>
        <w:rPr>
          <w:rFonts w:ascii="Times New Roman" w:eastAsia="Times New Roman"/>
        </w:rPr>
        <w:t>2.0</w:t>
      </w:r>
    </w:p>
    <w:p>
      <w:pPr>
        <w:pStyle w:val="3"/>
        <w:tabs>
          <w:tab w:val="right" w:pos="6714"/>
        </w:tabs>
        <w:spacing w:before="129"/>
        <w:ind w:left="1744"/>
        <w:rPr>
          <w:rFonts w:ascii="Times New Roman" w:eastAsia="Times New Roman"/>
        </w:rPr>
      </w:pPr>
      <w:r>
        <w:rPr>
          <w:rFonts w:ascii="Times New Roman" w:eastAsia="Times New Roman"/>
        </w:rPr>
        <w:t xml:space="preserve">50 </w:t>
      </w:r>
      <w:r>
        <w:t>人～</w:t>
      </w:r>
      <w:r>
        <w:rPr>
          <w:rFonts w:ascii="Times New Roman" w:eastAsia="Times New Roman"/>
        </w:rPr>
        <w:t>99</w:t>
      </w:r>
      <w:r>
        <w:rPr>
          <w:rFonts w:ascii="Times New Roman" w:eastAsia="Times New Roman"/>
          <w:spacing w:val="-1"/>
        </w:rPr>
        <w:t xml:space="preserve"> </w:t>
      </w:r>
      <w:r>
        <w:t>人</w:t>
      </w:r>
      <w:r>
        <w:tab/>
      </w:r>
      <w:r>
        <w:rPr>
          <w:rFonts w:ascii="Times New Roman" w:eastAsia="Times New Roman"/>
        </w:rPr>
        <w:t>1.5</w:t>
      </w:r>
    </w:p>
    <w:p>
      <w:pPr>
        <w:pStyle w:val="3"/>
        <w:tabs>
          <w:tab w:val="right" w:pos="6714"/>
        </w:tabs>
        <w:spacing w:before="127"/>
        <w:ind w:left="1744"/>
        <w:rPr>
          <w:rFonts w:ascii="Times New Roman" w:eastAsia="Times New Roman"/>
        </w:rPr>
      </w:pPr>
      <w:r>
        <w:rPr>
          <w:rFonts w:ascii="Times New Roman" w:eastAsia="Times New Roman"/>
        </w:rPr>
        <w:t xml:space="preserve">30 </w:t>
      </w:r>
      <w:r>
        <w:t>人～</w:t>
      </w:r>
      <w:r>
        <w:rPr>
          <w:rFonts w:ascii="Times New Roman" w:eastAsia="Times New Roman"/>
        </w:rPr>
        <w:t>49</w:t>
      </w:r>
      <w:r>
        <w:rPr>
          <w:rFonts w:ascii="Times New Roman" w:eastAsia="Times New Roman"/>
          <w:spacing w:val="-1"/>
        </w:rPr>
        <w:t xml:space="preserve"> </w:t>
      </w:r>
      <w:r>
        <w:t>人</w:t>
      </w:r>
      <w:r>
        <w:tab/>
      </w:r>
      <w:r>
        <w:rPr>
          <w:rFonts w:ascii="Times New Roman" w:eastAsia="Times New Roman"/>
        </w:rPr>
        <w:t>1.2</w:t>
      </w:r>
    </w:p>
    <w:p>
      <w:pPr>
        <w:pStyle w:val="3"/>
        <w:tabs>
          <w:tab w:val="left" w:pos="6453"/>
        </w:tabs>
        <w:spacing w:before="130"/>
        <w:ind w:left="1929"/>
        <w:rPr>
          <w:rFonts w:ascii="Times New Roman" w:eastAsia="Times New Roman"/>
        </w:rPr>
      </w:pPr>
      <w:r>
        <mc:AlternateContent>
          <mc:Choice Requires="wps">
            <w:drawing>
              <wp:anchor distT="0" distB="0" distL="114300" distR="114300" simplePos="0" relativeHeight="251665408" behindDoc="1" locked="0" layoutInCell="1" allowOverlap="1">
                <wp:simplePos x="0" y="0"/>
                <wp:positionH relativeFrom="page">
                  <wp:posOffset>1073785</wp:posOffset>
                </wp:positionH>
                <wp:positionV relativeFrom="paragraph">
                  <wp:posOffset>295275</wp:posOffset>
                </wp:positionV>
                <wp:extent cx="5411470" cy="0"/>
                <wp:effectExtent l="0" t="0" r="0" b="0"/>
                <wp:wrapTopAndBottom/>
                <wp:docPr id="13" name="直线 14"/>
                <wp:cNvGraphicFramePr/>
                <a:graphic xmlns:a="http://schemas.openxmlformats.org/drawingml/2006/main">
                  <a:graphicData uri="http://schemas.microsoft.com/office/word/2010/wordprocessingShape">
                    <wps:wsp>
                      <wps:cNvCnPr/>
                      <wps:spPr>
                        <a:xfrm>
                          <a:off x="0" y="0"/>
                          <a:ext cx="54114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84.55pt;margin-top:23.25pt;height:0pt;width:426.1pt;mso-position-horizontal-relative:page;mso-wrap-distance-bottom:0pt;mso-wrap-distance-top:0pt;z-index:-251651072;mso-width-relative:page;mso-height-relative:page;" filled="f" stroked="t" coordsize="21600,21600" o:gfxdata="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aM&#10;CZDYAAAACgEAAA8AAAAAAAAAAQAgAAAAIgAAAGRycy9kb3ducmV2LnhtbFBLAQIUABQAAAAIAIdO&#10;4kB3yk/76gEAAN0DAAAOAAAAAAAAAAEAIAAAACcBAABkcnMvZTJvRG9jLnhtbFBLBQYAAAAABgAG&#10;AFkBAACDBQAAAAA=&#10;">
                <v:fill on="f" focussize="0,0"/>
                <v:stroke weight="0.48pt" color="#000000" joinstyle="round"/>
                <v:imagedata o:title=""/>
                <o:lock v:ext="edit" aspectratio="f"/>
                <w10:wrap type="topAndBottom"/>
              </v:line>
            </w:pict>
          </mc:Fallback>
        </mc:AlternateContent>
      </w:r>
      <w:r>
        <w:rPr>
          <w:rFonts w:ascii="Times New Roman" w:eastAsia="Times New Roman"/>
        </w:rPr>
        <w:t>1</w:t>
      </w:r>
      <w:r>
        <w:t>～</w:t>
      </w:r>
      <w:r>
        <w:rPr>
          <w:rFonts w:ascii="Times New Roman" w:eastAsia="Times New Roman"/>
        </w:rPr>
        <w:t xml:space="preserve">29 </w:t>
      </w:r>
      <w:r>
        <w:t>人</w:t>
      </w:r>
      <w:r>
        <w:tab/>
      </w:r>
      <w:r>
        <w:rPr>
          <w:rFonts w:ascii="Times New Roman" w:eastAsia="Times New Roman"/>
        </w:rPr>
        <w:t>1.0</w:t>
      </w:r>
    </w:p>
    <w:p>
      <w:pPr>
        <w:spacing w:after="0"/>
        <w:rPr>
          <w:rFonts w:ascii="Times New Roman" w:eastAsia="Times New Roman"/>
        </w:rPr>
        <w:sectPr>
          <w:type w:val="continuous"/>
          <w:pgSz w:w="11910" w:h="16840"/>
          <w:pgMar w:top="1380" w:right="1500" w:bottom="1180" w:left="1500" w:header="720" w:footer="720" w:gutter="0"/>
          <w:cols w:space="720" w:num="1"/>
        </w:sectPr>
      </w:pPr>
    </w:p>
    <w:p>
      <w:pPr>
        <w:pStyle w:val="3"/>
        <w:ind w:left="0"/>
        <w:rPr>
          <w:rFonts w:ascii="Times New Roman"/>
          <w:sz w:val="20"/>
        </w:rPr>
      </w:pPr>
    </w:p>
    <w:p>
      <w:pPr>
        <w:pStyle w:val="3"/>
        <w:ind w:left="0"/>
        <w:rPr>
          <w:rFonts w:ascii="Times New Roman"/>
          <w:sz w:val="22"/>
        </w:rPr>
      </w:pPr>
    </w:p>
    <w:p>
      <w:pPr>
        <w:pStyle w:val="3"/>
        <w:spacing w:before="1"/>
        <w:ind w:left="720"/>
      </w:pPr>
      <w:r>
        <mc:AlternateContent>
          <mc:Choice Requires="wps">
            <w:drawing>
              <wp:anchor distT="0" distB="0" distL="114300" distR="114300" simplePos="0" relativeHeight="251669504" behindDoc="0" locked="0" layoutInCell="1" allowOverlap="1">
                <wp:simplePos x="0" y="0"/>
                <wp:positionH relativeFrom="page">
                  <wp:posOffset>1073785</wp:posOffset>
                </wp:positionH>
                <wp:positionV relativeFrom="paragraph">
                  <wp:posOffset>-16510</wp:posOffset>
                </wp:positionV>
                <wp:extent cx="5411470" cy="0"/>
                <wp:effectExtent l="0" t="0" r="0" b="0"/>
                <wp:wrapNone/>
                <wp:docPr id="14" name="直线 15"/>
                <wp:cNvGraphicFramePr/>
                <a:graphic xmlns:a="http://schemas.openxmlformats.org/drawingml/2006/main">
                  <a:graphicData uri="http://schemas.microsoft.com/office/word/2010/wordprocessingShape">
                    <wps:wsp>
                      <wps:cNvCnPr/>
                      <wps:spPr>
                        <a:xfrm>
                          <a:off x="0" y="0"/>
                          <a:ext cx="54114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84.55pt;margin-top:-1.3pt;height:0pt;width:426.1pt;mso-position-horizontal-relative:page;z-index:251669504;mso-width-relative:page;mso-height-relative:page;" filled="f" stroked="t" coordsize="21600,21600" o:gfxdata="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1I&#10;S+nYAAAACgEAAA8AAAAAAAAAAQAgAAAAIgAAAGRycy9kb3ducmV2LnhtbFBLAQIUABQAAAAIAIdO&#10;4kDf0Kfh6gEAAN0DAAAOAAAAAAAAAAEAIAAAACcBAABkcnMvZTJvRG9jLnhtbFBLBQYAAAAABgAG&#10;AFkBAACDBQAAAAA=&#10;">
                <v:fill on="f" focussize="0,0"/>
                <v:stroke weight="0.48pt" color="#000000" joinstyle="round"/>
                <v:imagedata o:title=""/>
                <o:lock v:ext="edit" aspectratio="f"/>
              </v:line>
            </w:pict>
          </mc:Fallback>
        </mc:AlternateContent>
      </w:r>
      <w:r>
        <w:rPr>
          <w:spacing w:val="-4"/>
        </w:rPr>
        <w:t>五、分级标准</w:t>
      </w:r>
    </w:p>
    <w:p>
      <w:pPr>
        <w:pStyle w:val="3"/>
        <w:tabs>
          <w:tab w:val="right" w:pos="4698"/>
        </w:tabs>
        <w:spacing w:before="116"/>
        <w:ind w:left="123"/>
        <w:rPr>
          <w:rFonts w:ascii="Times New Roman" w:eastAsia="Times New Roman"/>
        </w:rPr>
      </w:pPr>
      <w:r>
        <w:br w:type="column"/>
      </w:r>
      <w:r>
        <w:rPr>
          <w:rFonts w:ascii="Times New Roman" w:eastAsia="Times New Roman"/>
        </w:rPr>
        <w:t>0</w:t>
      </w:r>
      <w:r>
        <w:rPr>
          <w:rFonts w:ascii="Times New Roman" w:eastAsia="Times New Roman"/>
          <w:spacing w:val="-2"/>
        </w:rPr>
        <w:t xml:space="preserve"> </w:t>
      </w:r>
      <w:r>
        <w:t>人</w:t>
      </w:r>
      <w:r>
        <w:tab/>
      </w:r>
      <w:r>
        <w:rPr>
          <w:rFonts w:ascii="Times New Roman" w:eastAsia="Times New Roman"/>
        </w:rPr>
        <w:t>0.5</w:t>
      </w:r>
    </w:p>
    <w:p>
      <w:pPr>
        <w:spacing w:after="0"/>
        <w:rPr>
          <w:rFonts w:ascii="Times New Roman" w:eastAsia="Times New Roman"/>
        </w:rPr>
        <w:sectPr>
          <w:pgSz w:w="11910" w:h="16840"/>
          <w:pgMar w:top="1380" w:right="1500" w:bottom="1180" w:left="1500" w:header="873" w:footer="989" w:gutter="0"/>
          <w:cols w:equalWidth="0" w:num="2">
            <w:col w:w="1978" w:space="40"/>
            <w:col w:w="6892"/>
          </w:cols>
        </w:sectPr>
      </w:pPr>
    </w:p>
    <w:p>
      <w:pPr>
        <w:pStyle w:val="3"/>
        <w:spacing w:before="43" w:line="278" w:lineRule="auto"/>
        <w:ind w:left="2308" w:right="1888" w:hanging="1589"/>
      </w:pPr>
      <w:r>
        <mc:AlternateContent>
          <mc:Choice Requires="wps">
            <w:drawing>
              <wp:anchor distT="0" distB="0" distL="114300" distR="114300" simplePos="0" relativeHeight="251668480" behindDoc="0" locked="0" layoutInCell="1" allowOverlap="1">
                <wp:simplePos x="0" y="0"/>
                <wp:positionH relativeFrom="page">
                  <wp:posOffset>1073785</wp:posOffset>
                </wp:positionH>
                <wp:positionV relativeFrom="page">
                  <wp:posOffset>916940</wp:posOffset>
                </wp:positionV>
                <wp:extent cx="5411470" cy="0"/>
                <wp:effectExtent l="0" t="0" r="0" b="0"/>
                <wp:wrapNone/>
                <wp:docPr id="15" name="直线 16"/>
                <wp:cNvGraphicFramePr/>
                <a:graphic xmlns:a="http://schemas.openxmlformats.org/drawingml/2006/main">
                  <a:graphicData uri="http://schemas.microsoft.com/office/word/2010/wordprocessingShape">
                    <wps:wsp>
                      <wps:cNvCnPr/>
                      <wps:spPr>
                        <a:xfrm>
                          <a:off x="0" y="0"/>
                          <a:ext cx="54114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84.55pt;margin-top:72.2pt;height:0pt;width:426.1pt;mso-position-horizontal-relative:page;mso-position-vertical-relative:page;z-index:251668480;mso-width-relative:page;mso-height-relative:page;" filled="f" stroked="t" coordsize="21600,21600" o:gfxdata="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9JLf2QAAAAwBAAAPAAAAAAAAAAEAIAAAACIAAABkcnMvZG93bnJldi54bWxQSwECFAAUAAAACACH&#10;TuJAWrj3COoBAADdAwAADgAAAAAAAAABACAAAAAoAQAAZHJzL2Uyb0RvYy54bWxQSwUGAAAAAAYA&#10;BgBZAQAAhA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1073785</wp:posOffset>
                </wp:positionH>
                <wp:positionV relativeFrom="paragraph">
                  <wp:posOffset>412115</wp:posOffset>
                </wp:positionV>
                <wp:extent cx="5411470" cy="0"/>
                <wp:effectExtent l="0" t="0" r="0" b="0"/>
                <wp:wrapNone/>
                <wp:docPr id="16" name="直线 17"/>
                <wp:cNvGraphicFramePr/>
                <a:graphic xmlns:a="http://schemas.openxmlformats.org/drawingml/2006/main">
                  <a:graphicData uri="http://schemas.microsoft.com/office/word/2010/wordprocessingShape">
                    <wps:wsp>
                      <wps:cNvCnPr/>
                      <wps:spPr>
                        <a:xfrm>
                          <a:off x="0" y="0"/>
                          <a:ext cx="54114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84.55pt;margin-top:32.45pt;height:0pt;width:426.1pt;mso-position-horizontal-relative:page;z-index:251670528;mso-width-relative:page;mso-height-relative:page;" filled="f" stroked="t" coordsize="21600,21600" o:gfxdata="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6&#10;TbHYAAAACgEAAA8AAAAAAAAAAQAgAAAAIgAAAGRycy9kb3ducmV2LnhtbFBLAQIUABQAAAAIAIdO&#10;4kBsApOc6gEAAN0DAAAOAAAAAAAAAAEAIAAAACcBAABkcnMvZTJvRG9jLnhtbFBLBQYAAAAABgAG&#10;AFkBAACDBQAAAAA=&#10;">
                <v:fill on="f" focussize="0,0"/>
                <v:stroke weight="0.48pt" color="#000000" joinstyle="round"/>
                <v:imagedata o:title=""/>
                <o:lock v:ext="edit" aspectratio="f"/>
              </v:line>
            </w:pict>
          </mc:Fallback>
        </mc:AlternateContent>
      </w:r>
      <w:r>
        <w:rPr>
          <w:spacing w:val="-7"/>
        </w:rPr>
        <w:t xml:space="preserve">根据计算出来的 </w:t>
      </w:r>
      <w:r>
        <w:rPr>
          <w:rFonts w:ascii="Times New Roman" w:eastAsia="Times New Roman"/>
        </w:rPr>
        <w:t xml:space="preserve">R </w:t>
      </w:r>
      <w:r>
        <w:rPr>
          <w:spacing w:val="-11"/>
        </w:rPr>
        <w:t xml:space="preserve">值，按表 </w:t>
      </w:r>
      <w:r>
        <w:rPr>
          <w:rFonts w:ascii="Times New Roman" w:eastAsia="Times New Roman"/>
        </w:rPr>
        <w:t xml:space="preserve">4 </w:t>
      </w:r>
      <w:r>
        <w:t>确定危险化学品重大危险源的级别。</w:t>
      </w:r>
      <w:r>
        <w:rPr>
          <w:spacing w:val="-27"/>
        </w:rPr>
        <w:t xml:space="preserve">表 </w:t>
      </w:r>
      <w:r>
        <w:rPr>
          <w:rFonts w:ascii="Times New Roman" w:eastAsia="Times New Roman"/>
        </w:rPr>
        <w:t xml:space="preserve">4 </w:t>
      </w:r>
      <w:r>
        <w:rPr>
          <w:spacing w:val="-4"/>
        </w:rPr>
        <w:t xml:space="preserve">危险化学品重大危险源级别和 </w:t>
      </w:r>
      <w:r>
        <w:rPr>
          <w:rFonts w:ascii="Times New Roman" w:eastAsia="Times New Roman"/>
        </w:rPr>
        <w:t xml:space="preserve">R </w:t>
      </w:r>
      <w:r>
        <w:t>值的对应关系</w:t>
      </w:r>
    </w:p>
    <w:p>
      <w:pPr>
        <w:pStyle w:val="3"/>
        <w:tabs>
          <w:tab w:val="left" w:pos="6340"/>
          <w:tab w:val="left" w:pos="6424"/>
        </w:tabs>
        <w:spacing w:before="50" w:line="355" w:lineRule="auto"/>
        <w:ind w:left="2155" w:right="1993" w:hanging="1052"/>
        <w:rPr>
          <w:rFonts w:ascii="Times New Roman" w:hAnsi="Times New Roman" w:eastAsia="Times New Roman"/>
        </w:rPr>
      </w:pPr>
      <w:r>
        <w:t>危险化学品重大危险源级别</w:t>
      </w:r>
      <w:r>
        <w:tab/>
      </w:r>
      <w:r>
        <w:tab/>
      </w:r>
      <w:r>
        <w:rPr>
          <w:rFonts w:ascii="Times New Roman" w:hAnsi="Times New Roman" w:eastAsia="Times New Roman"/>
        </w:rPr>
        <w:t>R</w:t>
      </w:r>
      <w:r>
        <w:rPr>
          <w:rFonts w:ascii="Times New Roman" w:hAnsi="Times New Roman" w:eastAsia="Times New Roman"/>
          <w:spacing w:val="-1"/>
        </w:rPr>
        <w:t xml:space="preserve"> </w:t>
      </w:r>
      <w:r>
        <w:t>值一级</w:t>
      </w:r>
      <w:r>
        <w:tab/>
      </w:r>
      <w:r>
        <w:rPr>
          <w:rFonts w:ascii="Times New Roman" w:hAnsi="Times New Roman" w:eastAsia="Times New Roman"/>
          <w:spacing w:val="-4"/>
        </w:rPr>
        <w:t>R≥100</w:t>
      </w:r>
    </w:p>
    <w:p>
      <w:pPr>
        <w:pStyle w:val="3"/>
        <w:tabs>
          <w:tab w:val="left" w:pos="6177"/>
        </w:tabs>
        <w:spacing w:line="267" w:lineRule="exact"/>
        <w:ind w:left="2155"/>
        <w:rPr>
          <w:rFonts w:ascii="Times New Roman" w:hAnsi="Times New Roman" w:eastAsia="Times New Roman"/>
        </w:rPr>
      </w:pPr>
      <w:r>
        <w:t>二级</w:t>
      </w:r>
      <w:r>
        <w:tab/>
      </w:r>
      <w:r>
        <w:rPr>
          <w:rFonts w:ascii="Times New Roman" w:hAnsi="Times New Roman" w:eastAsia="Times New Roman"/>
        </w:rPr>
        <w:t>100&gt;R≥50</w:t>
      </w:r>
    </w:p>
    <w:p>
      <w:pPr>
        <w:pStyle w:val="3"/>
        <w:tabs>
          <w:tab w:val="left" w:pos="6227"/>
        </w:tabs>
        <w:spacing w:before="127"/>
        <w:ind w:left="2155"/>
        <w:rPr>
          <w:rFonts w:ascii="Times New Roman" w:hAnsi="Times New Roman" w:eastAsia="Times New Roman"/>
        </w:rPr>
      </w:pPr>
      <w:r>
        <w:t>三级</w:t>
      </w:r>
      <w:r>
        <w:tab/>
      </w:r>
      <w:r>
        <w:rPr>
          <w:rFonts w:ascii="Times New Roman" w:hAnsi="Times New Roman" w:eastAsia="Times New Roman"/>
        </w:rPr>
        <w:t>50&gt;R≥10</w:t>
      </w:r>
    </w:p>
    <w:p>
      <w:pPr>
        <w:pStyle w:val="3"/>
        <w:tabs>
          <w:tab w:val="left" w:pos="6391"/>
        </w:tabs>
        <w:spacing w:before="129"/>
        <w:ind w:left="2155"/>
        <w:rPr>
          <w:rFonts w:ascii="Times New Roman" w:eastAsia="Times New Roman"/>
        </w:rPr>
      </w:pPr>
      <w:r>
        <mc:AlternateContent>
          <mc:Choice Requires="wps">
            <w:drawing>
              <wp:anchor distT="0" distB="0" distL="114300" distR="114300" simplePos="0" relativeHeight="251667456" behindDoc="1" locked="0" layoutInCell="1" allowOverlap="1">
                <wp:simplePos x="0" y="0"/>
                <wp:positionH relativeFrom="page">
                  <wp:posOffset>1073785</wp:posOffset>
                </wp:positionH>
                <wp:positionV relativeFrom="paragraph">
                  <wp:posOffset>296545</wp:posOffset>
                </wp:positionV>
                <wp:extent cx="5411470" cy="0"/>
                <wp:effectExtent l="0" t="0" r="0" b="0"/>
                <wp:wrapTopAndBottom/>
                <wp:docPr id="17" name="直线 18"/>
                <wp:cNvGraphicFramePr/>
                <a:graphic xmlns:a="http://schemas.openxmlformats.org/drawingml/2006/main">
                  <a:graphicData uri="http://schemas.microsoft.com/office/word/2010/wordprocessingShape">
                    <wps:wsp>
                      <wps:cNvCnPr/>
                      <wps:spPr>
                        <a:xfrm>
                          <a:off x="0" y="0"/>
                          <a:ext cx="54114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84.55pt;margin-top:23.35pt;height:0pt;width:426.1pt;mso-position-horizontal-relative:page;mso-wrap-distance-bottom:0pt;mso-wrap-distance-top:0pt;z-index:-251649024;mso-width-relative:page;mso-height-relative:page;" filled="f" stroked="t" coordsize="21600,21600" o:gfxdata="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ii&#10;LD7YAAAACgEAAA8AAAAAAAAAAQAgAAAAIgAAAGRycy9kb3ducmV2LnhtbFBLAQIUABQAAAAIAIdO&#10;4kDhZOzo6gEAAN0DAAAOAAAAAAAAAAEAIAAAACcBAABkcnMvZTJvRG9jLnhtbFBLBQYAAAAABgAG&#10;AFkBAACDBQAAAAA=&#10;">
                <v:fill on="f" focussize="0,0"/>
                <v:stroke weight="0.48pt" color="#000000" joinstyle="round"/>
                <v:imagedata o:title=""/>
                <o:lock v:ext="edit" aspectratio="f"/>
                <w10:wrap type="topAndBottom"/>
              </v:line>
            </w:pict>
          </mc:Fallback>
        </mc:AlternateContent>
      </w:r>
      <w:r>
        <w:t>四级</w:t>
      </w:r>
      <w:r>
        <w:tab/>
      </w:r>
      <w:r>
        <w:rPr>
          <w:rFonts w:ascii="Times New Roman" w:eastAsia="Times New Roman"/>
        </w:rPr>
        <w:t>R&lt;10</w:t>
      </w:r>
    </w:p>
    <w:p>
      <w:pPr>
        <w:pStyle w:val="3"/>
        <w:ind w:left="0"/>
        <w:rPr>
          <w:rFonts w:ascii="Times New Roman"/>
          <w:sz w:val="20"/>
        </w:rPr>
      </w:pPr>
    </w:p>
    <w:p>
      <w:pPr>
        <w:pStyle w:val="3"/>
        <w:ind w:left="0"/>
        <w:rPr>
          <w:rFonts w:ascii="Times New Roman"/>
          <w:sz w:val="2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4" name="文本框 5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520</w:t>
                          </w:r>
                          <w:r>
                            <w:fldChar w:fldCharType="end"/>
                          </w:r>
                        </w:p>
                      </w:txbxContent>
                    </wps:txbx>
                    <wps:bodyPr lIns="0" tIns="0" rIns="0" bIns="0" upright="1"/>
                  </wps:wsp>
                </a:graphicData>
              </a:graphic>
            </wp:anchor>
          </w:drawing>
        </mc:Choice>
        <mc:Fallback>
          <w:pict>
            <v:shape id="文本框 57" o:spid="_x0000_s1026" o:spt="202" type="#_x0000_t202" style="position:absolute;left:0pt;margin-left:88.2pt;margin-top:781.45pt;height:12pt;width:17.5pt;mso-position-horizontal-relative:page;mso-position-vertical-relative:page;z-index:-251656192;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CqjEbp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E4B64"/>
    <w:rsid w:val="23693B80"/>
    <w:rsid w:val="4B7E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qFormat/>
    <w:uiPriority w:val="1"/>
    <w:pPr>
      <w:spacing w:line="269" w:lineRule="exact"/>
      <w:ind w:left="3544"/>
      <w:outlineLvl w:val="3"/>
    </w:pPr>
    <w:rPr>
      <w:rFonts w:ascii="宋体" w:hAnsi="宋体" w:eastAsia="宋体" w:cs="宋体"/>
      <w:b/>
      <w:bCs/>
      <w:sz w:val="21"/>
      <w:szCs w:val="21"/>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customStyle="1" w:styleId="6">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2021-10-09T02:44:00Z</dcterms:created>
  <dc:creator>admin2</dc:creator>
  <cp:lastModifiedBy>admin2</cp:lastModifiedBy>
  <dcterms:modified xsi:type="dcterms:W3CDTF">2021-10-09T02:56:01Z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59C4820C8A2F4D4B8563C4453317D347</vt:lpwstr>
  </property>
</Properties>
</file>